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p>
    <w:p>
      <w:pPr>
        <w:pStyle w:val="7"/>
        <w:numPr>
          <w:ilvl w:val="0"/>
          <w:numId w:val="0"/>
        </w:numPr>
        <w:spacing w:line="480" w:lineRule="auto"/>
        <w:jc w:val="center"/>
        <w:rPr>
          <w:rFonts w:hint="eastAsia"/>
          <w:b/>
          <w:bCs/>
          <w:sz w:val="28"/>
          <w:szCs w:val="28"/>
          <w:lang w:val="en-US" w:eastAsia="zh-CN"/>
        </w:rPr>
      </w:pPr>
      <w:r>
        <w:rPr>
          <w:rFonts w:hint="eastAsia"/>
          <w:b/>
          <w:bCs/>
          <w:sz w:val="28"/>
          <w:szCs w:val="28"/>
          <w:lang w:val="en-US" w:eastAsia="zh-CN"/>
        </w:rPr>
        <w:t>外文数据库采购需求</w:t>
      </w:r>
    </w:p>
    <w:p>
      <w:pPr>
        <w:pStyle w:val="6"/>
        <w:widowControl/>
        <w:spacing w:line="360" w:lineRule="auto"/>
        <w:ind w:firstLine="360"/>
        <w:rPr>
          <w:rFonts w:hint="eastAsia" w:ascii="宋体" w:hAnsi="宋体" w:cs="宋体"/>
        </w:rPr>
      </w:pPr>
    </w:p>
    <w:p>
      <w:pPr>
        <w:spacing w:line="360" w:lineRule="auto"/>
        <w:ind w:firstLine="480"/>
        <w:rPr>
          <w:rFonts w:hint="eastAsia" w:ascii="宋体" w:hAnsi="宋体" w:cs="宋体"/>
        </w:rPr>
      </w:pPr>
      <w:r>
        <w:rPr>
          <w:rFonts w:hint="eastAsia" w:ascii="宋体" w:hAnsi="宋体" w:cs="宋体"/>
          <w:lang w:val="en-US" w:eastAsia="zh-CN"/>
        </w:rPr>
        <w:t>一、</w:t>
      </w:r>
      <w:r>
        <w:rPr>
          <w:rFonts w:hint="eastAsia" w:ascii="宋体" w:hAnsi="宋体" w:cs="宋体"/>
        </w:rPr>
        <w:t>收录学科（专业领域）不少于120个，应收录全球 20000 余种生物医学和临床医学期刊，其中医学类核心期刊总数不少于10000种，需要包含如 Nature、 Science、Cell、NEJM、Lancet、JAMA、BMJ 等著名期刊，以及全球知名的 Elsevier、Springer、Wiley、 Ovid 等出版社的核心医学资源；数据库可检索到最新的电子优先（Epub ahead of print）文献，也可检索到上世纪六十年代以来的文献，文献量不少于2000万篇；检索结果与PubMed同步，更新频次为日更新。</w:t>
      </w:r>
    </w:p>
    <w:p>
      <w:pPr>
        <w:spacing w:line="360" w:lineRule="auto"/>
        <w:ind w:firstLine="480"/>
        <w:rPr>
          <w:rFonts w:hint="eastAsia" w:ascii="宋体" w:hAnsi="宋体" w:cs="宋体"/>
        </w:rPr>
      </w:pPr>
      <w:r>
        <w:rPr>
          <w:rFonts w:hint="eastAsia" w:ascii="宋体" w:hAnsi="宋体" w:cs="宋体"/>
        </w:rPr>
        <w:t>①系统平台需要提供丰富的检索模式，包括自由词检索、主题词检索、高级检索、联想检索、二次检索、临床查询检索、字段限定检索、逻辑组合检索等，并能在检索结果中揭示与临床相关的循证医学文献，并能方便的查看系统综述、荟萃分析、随机对照试验等文献；</w:t>
      </w:r>
    </w:p>
    <w:p>
      <w:pPr>
        <w:spacing w:line="360" w:lineRule="auto"/>
        <w:ind w:firstLine="480"/>
        <w:rPr>
          <w:rFonts w:hint="eastAsia" w:ascii="宋体" w:hAnsi="宋体" w:cs="宋体"/>
        </w:rPr>
      </w:pPr>
      <w:r>
        <w:rPr>
          <w:rFonts w:hint="eastAsia" w:ascii="宋体" w:hAnsi="宋体" w:cs="宋体"/>
        </w:rPr>
        <w:t>②系统应提供数据分析功能，可以从研究方向，出版年，文献类型，资金资助机构，作者，来源出版物，语种，机构八大种类的结果进行分析。数据展示格式可以选择树状图或柱状图格式，检索结果可以选择展示的数量；分析精度也可以选择高或低；分析结果支持导出功能。数据分析功能还包括citescore 高IF论文分析、高TC论文分析等。</w:t>
      </w:r>
    </w:p>
    <w:p>
      <w:pPr>
        <w:spacing w:line="360" w:lineRule="auto"/>
        <w:ind w:firstLine="480"/>
        <w:rPr>
          <w:rFonts w:hint="eastAsia" w:ascii="宋体" w:hAnsi="宋体" w:cs="宋体"/>
        </w:rPr>
      </w:pPr>
      <w:r>
        <w:rPr>
          <w:rFonts w:hint="eastAsia" w:ascii="宋体" w:hAnsi="宋体" w:cs="宋体"/>
        </w:rPr>
        <w:t>③系统平台应提供多方位的过滤分析功能，包括影响因子（citescore）过滤、文献被引用次数（TC）过滤及分区过滤等；并可以在检索结果界面查看部分文献的参考文献和被引文献列表；</w:t>
      </w:r>
    </w:p>
    <w:p>
      <w:pPr>
        <w:spacing w:line="360" w:lineRule="auto"/>
        <w:ind w:firstLine="480"/>
        <w:rPr>
          <w:rFonts w:hint="eastAsia" w:ascii="宋体" w:hAnsi="宋体" w:cs="宋体"/>
        </w:rPr>
      </w:pPr>
      <w:r>
        <w:rPr>
          <w:rFonts w:hint="eastAsia" w:ascii="宋体" w:hAnsi="宋体" w:cs="宋体"/>
        </w:rPr>
        <w:t>④系统需要提供知识图谱功能，可以对各个学术领域，根据文献内在主题词的增长或下降比例，结合文献的权重得出该领域的发展趋势，了解世界各国主流科学家的研究方向，并以图形化的方式将结果呈现给用户；</w:t>
      </w:r>
    </w:p>
    <w:p>
      <w:pPr>
        <w:spacing w:line="360" w:lineRule="auto"/>
        <w:ind w:firstLine="480"/>
        <w:rPr>
          <w:rFonts w:hint="eastAsia" w:ascii="宋体" w:hAnsi="宋体" w:cs="宋体"/>
        </w:rPr>
      </w:pPr>
      <w:r>
        <w:rPr>
          <w:rFonts w:hint="eastAsia" w:ascii="宋体" w:hAnsi="宋体" w:cs="宋体"/>
        </w:rPr>
        <w:t>⑤检索结果可以提供散点图和气泡图两种形式的图形化显示。在一个页面可以显示上千条的检索结果记录，并可以根据检索结果记录的特有属性，包括文献的出版时间、期刊的影响因子等，将不同的文献归类到不同的坐标位置，便于用户区分和使用；</w:t>
      </w:r>
    </w:p>
    <w:p>
      <w:pPr>
        <w:spacing w:line="360" w:lineRule="auto"/>
        <w:ind w:firstLine="480"/>
        <w:rPr>
          <w:rFonts w:hint="eastAsia" w:ascii="宋体" w:hAnsi="宋体" w:cs="宋体"/>
        </w:rPr>
      </w:pPr>
      <w:r>
        <w:rPr>
          <w:rFonts w:hint="eastAsia" w:ascii="宋体" w:hAnsi="宋体" w:cs="宋体"/>
        </w:rPr>
        <w:t>⑥可以获取95%以上PubMed的全文。</w:t>
      </w:r>
    </w:p>
    <w:p>
      <w:pPr>
        <w:spacing w:line="360" w:lineRule="auto"/>
        <w:ind w:firstLine="480"/>
        <w:rPr>
          <w:rFonts w:hint="eastAsia" w:ascii="宋体" w:hAnsi="宋体" w:cs="宋体"/>
        </w:rPr>
      </w:pPr>
      <w:r>
        <w:rPr>
          <w:rFonts w:hint="eastAsia" w:ascii="宋体" w:hAnsi="宋体" w:cs="宋体"/>
        </w:rPr>
        <w:t>⑦系统需提供文献管理功能。检索出的文献记录支持多种格式的导出，可以直接在endnote管理软件中导入；申请到的文献无需通过邮箱传递，可直接在个人中心进行高效管理。支持建立多个文件夹进行文献分类，支持文献删除、备注等功能。</w:t>
      </w:r>
    </w:p>
    <w:p>
      <w:pPr>
        <w:spacing w:line="360" w:lineRule="auto"/>
        <w:ind w:firstLine="480"/>
        <w:rPr>
          <w:rFonts w:hint="eastAsia" w:ascii="宋体" w:hAnsi="宋体" w:cs="宋体"/>
        </w:rPr>
      </w:pPr>
      <w:r>
        <w:rPr>
          <w:rFonts w:hint="eastAsia" w:ascii="宋体" w:hAnsi="宋体" w:cs="宋体"/>
          <w:lang w:val="en-US" w:eastAsia="zh-CN"/>
        </w:rPr>
        <w:t>二</w:t>
      </w:r>
      <w:r>
        <w:rPr>
          <w:rFonts w:hint="eastAsia" w:ascii="宋体" w:hAnsi="宋体" w:cs="宋体"/>
        </w:rPr>
        <w:t>、维保需求</w:t>
      </w:r>
    </w:p>
    <w:p>
      <w:pPr>
        <w:spacing w:line="360" w:lineRule="auto"/>
        <w:ind w:firstLine="480"/>
        <w:rPr>
          <w:rFonts w:hint="eastAsia" w:ascii="宋体" w:hAnsi="宋体" w:cs="宋体"/>
        </w:rPr>
      </w:pPr>
      <w:r>
        <w:rPr>
          <w:rFonts w:hint="eastAsia" w:ascii="宋体" w:hAnsi="宋体" w:cs="宋体"/>
        </w:rPr>
        <w:t>1、运行保障服务：电话、网络在线技术支持以保障系统全时间段无故障不间断正常运转。</w:t>
      </w:r>
    </w:p>
    <w:p>
      <w:pPr>
        <w:spacing w:line="360" w:lineRule="auto"/>
        <w:ind w:firstLine="480"/>
        <w:rPr>
          <w:rFonts w:hint="eastAsia" w:ascii="宋体" w:hAnsi="宋体" w:cs="宋体"/>
          <w:sz w:val="24"/>
          <w:szCs w:val="24"/>
          <w:lang w:val="en-US" w:eastAsia="zh-CN"/>
        </w:rPr>
      </w:pPr>
      <w:r>
        <w:rPr>
          <w:rFonts w:hint="eastAsia" w:ascii="宋体" w:hAnsi="宋体" w:cs="宋体"/>
        </w:rPr>
        <w:t>2、免费维护服务：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pPr>
        <w:pStyle w:val="3"/>
        <w:numPr>
          <w:ilvl w:val="0"/>
          <w:numId w:val="0"/>
        </w:numPr>
        <w:rPr>
          <w:rFonts w:hint="eastAsia"/>
          <w:sz w:val="24"/>
          <w:szCs w:val="24"/>
          <w:lang w:val="en-US" w:eastAsia="zh-CN"/>
        </w:rPr>
      </w:pPr>
    </w:p>
    <w:p/>
    <w:p>
      <w:pPr>
        <w:spacing w:line="360" w:lineRule="auto"/>
        <w:ind w:firstLine="480"/>
        <w:rPr>
          <w:rFonts w:hint="eastAsia"/>
          <w:sz w:val="24"/>
          <w:szCs w:val="24"/>
          <w:lang w:val="en-US" w:eastAsia="zh-CN"/>
        </w:rPr>
      </w:pPr>
    </w:p>
    <w:p>
      <w:bookmarkStart w:id="0" w:name="_GoBack"/>
      <w:bookmarkEnd w:id="0"/>
    </w:p>
    <w:sectPr>
      <w:pgSz w:w="11906" w:h="16838"/>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E6858"/>
    <w:multiLevelType w:val="multilevel"/>
    <w:tmpl w:val="73CE6858"/>
    <w:lvl w:ilvl="0" w:tentative="0">
      <w:start w:val="1"/>
      <w:numFmt w:val="decimal"/>
      <w:lvlText w:val="第%1章"/>
      <w:lvlJc w:val="left"/>
      <w:pPr>
        <w:tabs>
          <w:tab w:val="left" w:pos="9723"/>
        </w:tabs>
        <w:ind w:left="8646" w:firstLine="0"/>
      </w:pPr>
      <w:rPr>
        <w:rFonts w:hint="eastAsia" w:ascii="宋体" w:hAnsi="宋体" w:eastAsia="宋体"/>
        <w:lang w:val="en-US"/>
      </w:rPr>
    </w:lvl>
    <w:lvl w:ilvl="1" w:tentative="0">
      <w:start w:val="1"/>
      <w:numFmt w:val="decimal"/>
      <w:pStyle w:val="3"/>
      <w:lvlText w:val="§%1.%2"/>
      <w:lvlJc w:val="left"/>
      <w:pPr>
        <w:tabs>
          <w:tab w:val="left" w:pos="1080"/>
        </w:tabs>
        <w:ind w:left="0" w:firstLine="0"/>
      </w:pPr>
      <w:rPr>
        <w:rFonts w:hint="eastAsia"/>
        <w:lang w:val="en-US"/>
      </w:rPr>
    </w:lvl>
    <w:lvl w:ilvl="2" w:tentative="0">
      <w:start w:val="1"/>
      <w:numFmt w:val="decimal"/>
      <w:lvlText w:val="§%1.%2.%3"/>
      <w:lvlJc w:val="left"/>
      <w:pPr>
        <w:tabs>
          <w:tab w:val="left" w:pos="3120"/>
        </w:tabs>
        <w:ind w:left="1986" w:hanging="142"/>
      </w:pPr>
      <w:rPr>
        <w:b/>
        <w:bCs/>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325"/>
        </w:tabs>
        <w:ind w:left="737" w:firstLine="227"/>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800"/>
        </w:tabs>
        <w:ind w:left="0" w:firstLine="0"/>
      </w:pPr>
      <w:rPr>
        <w:rFonts w:hint="eastAsia"/>
      </w:rPr>
    </w:lvl>
    <w:lvl w:ilvl="5" w:tentative="0">
      <w:start w:val="1"/>
      <w:numFmt w:val="decimal"/>
      <w:lvlText w:val="§%1.%2.%3.%4.%5.%6"/>
      <w:lvlJc w:val="left"/>
      <w:pPr>
        <w:tabs>
          <w:tab w:val="left" w:pos="2574"/>
        </w:tabs>
        <w:ind w:left="2268" w:hanging="1134"/>
      </w:pPr>
      <w:rPr>
        <w:rFonts w:hint="eastAsia"/>
      </w:rPr>
    </w:lvl>
    <w:lvl w:ilvl="6" w:tentative="0">
      <w:start w:val="1"/>
      <w:numFmt w:val="decimal"/>
      <w:lvlText w:val="%1.%2.%3.%4.%5.%6.%7"/>
      <w:lvlJc w:val="left"/>
      <w:pPr>
        <w:tabs>
          <w:tab w:val="left" w:pos="4551"/>
        </w:tabs>
        <w:ind w:left="4027" w:hanging="1276"/>
      </w:pPr>
      <w:rPr>
        <w:rFonts w:hint="eastAsia"/>
      </w:rPr>
    </w:lvl>
    <w:lvl w:ilvl="7" w:tentative="0">
      <w:start w:val="1"/>
      <w:numFmt w:val="decimal"/>
      <w:lvlText w:val="%1.%2.%3.%4.%5.%6.%7.%8"/>
      <w:lvlJc w:val="left"/>
      <w:pPr>
        <w:tabs>
          <w:tab w:val="left" w:pos="5336"/>
        </w:tabs>
        <w:ind w:left="4594" w:hanging="1418"/>
      </w:pPr>
      <w:rPr>
        <w:rFonts w:hint="eastAsia"/>
      </w:rPr>
    </w:lvl>
    <w:lvl w:ilvl="8" w:tentative="0">
      <w:start w:val="1"/>
      <w:numFmt w:val="decimal"/>
      <w:lvlText w:val="%1.%2.%3.%4.%5.%6.%7.%8.%9"/>
      <w:lvlJc w:val="left"/>
      <w:pPr>
        <w:tabs>
          <w:tab w:val="left" w:pos="6122"/>
        </w:tabs>
        <w:ind w:left="53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6FC5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numPr>
        <w:ilvl w:val="1"/>
        <w:numId w:val="1"/>
      </w:numPr>
      <w:tabs>
        <w:tab w:val="left" w:pos="1077"/>
        <w:tab w:val="left" w:pos="2070"/>
        <w:tab w:val="left" w:pos="9723"/>
        <w:tab w:val="clear" w:pos="1080"/>
      </w:tabs>
      <w:ind w:firstLineChars="0"/>
      <w:outlineLvl w:val="1"/>
    </w:pPr>
    <w:rPr>
      <w:rFonts w:ascii="Arial" w:hAnsi="Arial" w:cs="Times New Roman"/>
      <w:b/>
      <w:bCs/>
      <w:sz w:val="30"/>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18"/>
    </w:rPr>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rPr>
      <w:sz w:val="24"/>
    </w:rPr>
  </w:style>
  <w:style w:type="paragraph" w:styleId="7">
    <w:name w:val="Body Text First Indent 2"/>
    <w:basedOn w:val="4"/>
    <w:unhideWhenUsed/>
    <w:qFormat/>
    <w:uiPriority w:val="0"/>
    <w:pPr>
      <w:spacing w:after="120"/>
      <w:ind w:left="420" w:leftChars="200" w:firstLine="420" w:firstLineChars="200"/>
    </w:pPr>
    <w:rPr>
      <w:rFonts w:ascii="Times New Roman" w:hAnsi="Times New Roman"/>
      <w:color w:val="auto"/>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1081</Words>
  <Characters>1191</Characters>
  <Lines>0</Lines>
  <Paragraphs>0</Paragraphs>
  <TotalTime>0</TotalTime>
  <ScaleCrop>false</ScaleCrop>
  <LinksUpToDate>false</LinksUpToDate>
  <CharactersWithSpaces>1203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2023-01-17T03:27:51Z</dcterms:created>
  <dc:creator>Administrator</dc:creator>
  <cp:lastModifiedBy>^山猫闪电腿^</cp:lastModifiedBy>
  <dcterms:modified xsi:type="dcterms:W3CDTF">2023-01-17T03:27:54Z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44281179264B423E9E704B00FB9C2D6C</vt:lpwstr>
  </property>
</Properties>
</file>