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napToGrid/>
        <w:spacing w:before="0" w:beforeAutospacing="0" w:after="0" w:afterAutospacing="0" w:line="240" w:lineRule="auto"/>
        <w:jc w:val="both"/>
        <w:textAlignment w:val="baseline"/>
        <w:rPr>
          <w:rStyle w:val="22"/>
          <w:rFonts w:hint="eastAsia" w:ascii="宋体" w:hAnsi="宋体" w:cs="宋体"/>
          <w:b w:val="0"/>
          <w:bCs w:val="0"/>
          <w:i w:val="0"/>
          <w:caps w:val="0"/>
          <w:spacing w:val="0"/>
          <w:w w:val="100"/>
          <w:kern w:val="2"/>
          <w:sz w:val="28"/>
          <w:szCs w:val="28"/>
          <w:lang w:val="en-US" w:eastAsia="zh-CN" w:bidi="ar-SA"/>
        </w:rPr>
      </w:pPr>
      <w:r>
        <w:rPr>
          <w:rFonts w:hint="eastAsia" w:ascii="宋体" w:hAnsi="宋体"/>
          <w:color w:val="000000"/>
          <w:sz w:val="28"/>
          <w:szCs w:val="28"/>
        </w:rPr>
        <w:t>附</w:t>
      </w:r>
      <w:r>
        <w:rPr>
          <w:rFonts w:hint="eastAsia" w:ascii="宋体" w:hAnsi="宋体"/>
          <w:sz w:val="28"/>
          <w:szCs w:val="28"/>
        </w:rPr>
        <w:t>件2：</w:t>
      </w:r>
    </w:p>
    <w:p>
      <w:pPr>
        <w:numPr>
          <w:ilvl w:val="0"/>
          <w:numId w:val="0"/>
        </w:numPr>
        <w:snapToGrid/>
        <w:spacing w:before="0" w:beforeAutospacing="0" w:after="0" w:afterAutospacing="0" w:line="240" w:lineRule="auto"/>
        <w:jc w:val="center"/>
        <w:textAlignment w:val="baseline"/>
        <w:rPr>
          <w:rStyle w:val="22"/>
          <w:rFonts w:hint="default" w:ascii="宋体" w:hAnsi="宋体" w:cs="宋体"/>
          <w:b/>
          <w:bCs/>
          <w:i w:val="0"/>
          <w:caps w:val="0"/>
          <w:spacing w:val="0"/>
          <w:w w:val="100"/>
          <w:kern w:val="2"/>
          <w:sz w:val="28"/>
          <w:szCs w:val="28"/>
          <w:lang w:val="en-US" w:eastAsia="zh-CN" w:bidi="ar-SA"/>
        </w:rPr>
      </w:pPr>
      <w:r>
        <w:rPr>
          <w:rStyle w:val="22"/>
          <w:rFonts w:hint="eastAsia" w:ascii="宋体" w:hAnsi="宋体" w:cs="宋体"/>
          <w:b/>
          <w:bCs/>
          <w:i w:val="0"/>
          <w:caps w:val="0"/>
          <w:spacing w:val="0"/>
          <w:w w:val="100"/>
          <w:kern w:val="2"/>
          <w:sz w:val="32"/>
          <w:szCs w:val="32"/>
          <w:lang w:val="en-US" w:eastAsia="zh-CN" w:bidi="ar-SA"/>
        </w:rPr>
        <w:t>医院中心机房第三方检测认证采购需求</w:t>
      </w:r>
      <w:bookmarkStart w:id="2" w:name="_GoBack"/>
      <w:bookmarkEnd w:id="2"/>
    </w:p>
    <w:p>
      <w:pPr>
        <w:pStyle w:val="6"/>
        <w:pageBreakBefore w:val="0"/>
        <w:widowControl w:val="0"/>
        <w:kinsoku/>
        <w:wordWrap/>
        <w:overflowPunct/>
        <w:topLinePunct w:val="0"/>
        <w:autoSpaceDE/>
        <w:autoSpaceDN/>
        <w:bidi w:val="0"/>
        <w:adjustRightInd/>
        <w:snapToGrid/>
        <w:spacing w:before="0" w:after="0" w:line="240" w:lineRule="auto"/>
        <w:jc w:val="left"/>
        <w:textAlignment w:val="auto"/>
        <w:rPr>
          <w:rFonts w:hint="eastAsia" w:ascii="宋体" w:hAnsi="宋体" w:eastAsia="宋体" w:cs="宋体"/>
          <w:b w:val="0"/>
          <w:bCs/>
          <w:sz w:val="28"/>
          <w:szCs w:val="28"/>
        </w:rPr>
      </w:pPr>
      <w:r>
        <w:rPr>
          <w:rFonts w:hint="eastAsia" w:ascii="宋体" w:hAnsi="宋体" w:eastAsia="宋体" w:cs="宋体"/>
          <w:b w:val="0"/>
          <w:bCs/>
          <w:sz w:val="28"/>
          <w:szCs w:val="28"/>
          <w:lang w:eastAsia="zh-CN"/>
        </w:rPr>
        <w:t>一、</w:t>
      </w:r>
      <w:r>
        <w:rPr>
          <w:rFonts w:hint="eastAsia" w:ascii="宋体" w:hAnsi="宋体" w:eastAsia="宋体" w:cs="宋体"/>
          <w:b w:val="0"/>
          <w:bCs/>
          <w:sz w:val="28"/>
          <w:szCs w:val="28"/>
        </w:rPr>
        <w:t>项目概况</w:t>
      </w:r>
    </w:p>
    <w:p>
      <w:pPr>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医院信息中心机房承载着医院所有业务系统和核心数据。随着临床业务不断发展和互联网医院的建设，作为医院信息系统运营支撑的信息中心机房的安全稳定运行的重要性越发突出。对信息中心机房进行标准化测评可以客观、有效的对机房的基础环境做出评价，为医院信息化长期发展提供有力保障。</w:t>
      </w:r>
    </w:p>
    <w:p>
      <w:pPr>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cs="宋体"/>
          <w:b w:val="0"/>
          <w:bCs/>
          <w:sz w:val="28"/>
          <w:szCs w:val="28"/>
        </w:rPr>
      </w:pPr>
      <w:r>
        <w:rPr>
          <w:rFonts w:hint="eastAsia" w:ascii="宋体" w:hAnsi="宋体" w:eastAsia="宋体" w:cs="宋体"/>
          <w:b w:val="0"/>
          <w:bCs/>
          <w:sz w:val="28"/>
          <w:szCs w:val="28"/>
          <w:lang w:eastAsia="zh-CN"/>
        </w:rPr>
        <w:t>信息中心机房位于行政楼二楼，备用机房位于住院部二期二楼</w:t>
      </w:r>
      <w:r>
        <w:rPr>
          <w:rFonts w:hint="eastAsia" w:ascii="宋体" w:hAnsi="宋体" w:eastAsia="宋体" w:cs="宋体"/>
          <w:b w:val="0"/>
          <w:bCs/>
          <w:sz w:val="28"/>
          <w:szCs w:val="28"/>
        </w:rPr>
        <w:t>。</w:t>
      </w:r>
    </w:p>
    <w:p>
      <w:pPr>
        <w:pStyle w:val="6"/>
        <w:pageBreakBefore w:val="0"/>
        <w:widowControl w:val="0"/>
        <w:wordWrap/>
        <w:topLinePunct w:val="0"/>
        <w:autoSpaceDE/>
        <w:autoSpaceDN/>
        <w:bidi w:val="0"/>
        <w:adjustRightInd/>
        <w:snapToGrid/>
        <w:spacing w:before="0" w:after="0" w:line="240" w:lineRule="auto"/>
        <w:jc w:val="left"/>
        <w:textAlignment w:val="auto"/>
        <w:rPr>
          <w:rFonts w:hint="eastAsia" w:ascii="宋体" w:hAnsi="宋体" w:eastAsia="宋体" w:cs="宋体"/>
          <w:b w:val="0"/>
          <w:bCs/>
          <w:sz w:val="28"/>
          <w:szCs w:val="28"/>
        </w:rPr>
      </w:pPr>
      <w:r>
        <w:rPr>
          <w:rFonts w:hint="eastAsia" w:ascii="宋体" w:hAnsi="宋体" w:eastAsia="宋体" w:cs="宋体"/>
          <w:b w:val="0"/>
          <w:bCs/>
          <w:sz w:val="28"/>
          <w:szCs w:val="28"/>
          <w:lang w:eastAsia="zh-CN"/>
        </w:rPr>
        <w:t>二、</w:t>
      </w:r>
      <w:r>
        <w:rPr>
          <w:rFonts w:hint="eastAsia" w:ascii="宋体" w:hAnsi="宋体" w:eastAsia="宋体" w:cs="宋体"/>
          <w:b w:val="0"/>
          <w:bCs/>
          <w:sz w:val="28"/>
          <w:szCs w:val="28"/>
        </w:rPr>
        <w:t>测评内容</w:t>
      </w:r>
    </w:p>
    <w:p>
      <w:pPr>
        <w:pageBreakBefore w:val="0"/>
        <w:widowControl w:val="0"/>
        <w:wordWrap/>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按照数据中心B级机房等级标准</w:t>
      </w:r>
      <w:r>
        <w:rPr>
          <w:rFonts w:hint="eastAsia" w:ascii="宋体" w:hAnsi="宋体" w:eastAsia="宋体" w:cs="宋体"/>
          <w:b w:val="0"/>
          <w:bCs/>
          <w:sz w:val="28"/>
          <w:szCs w:val="28"/>
          <w:lang w:val="en-US" w:eastAsia="zh-CN"/>
        </w:rPr>
        <w:t>,</w:t>
      </w:r>
      <w:r>
        <w:rPr>
          <w:rFonts w:hint="eastAsia" w:ascii="宋体" w:hAnsi="宋体" w:eastAsia="宋体" w:cs="宋体"/>
          <w:b w:val="0"/>
          <w:bCs/>
          <w:sz w:val="28"/>
          <w:szCs w:val="28"/>
        </w:rPr>
        <w:t>进行如下测评工作：</w:t>
      </w:r>
    </w:p>
    <w:p>
      <w:pPr>
        <w:pageBreakBefore w:val="0"/>
        <w:widowControl w:val="0"/>
        <w:wordWrap/>
        <w:topLinePunct w:val="0"/>
        <w:autoSpaceDE/>
        <w:autoSpaceDN/>
        <w:bidi w:val="0"/>
        <w:adjustRightInd/>
        <w:snapToGrid/>
        <w:spacing w:line="240" w:lineRule="auto"/>
        <w:jc w:val="left"/>
        <w:textAlignment w:val="auto"/>
        <w:rPr>
          <w:rFonts w:hint="eastAsia" w:ascii="宋体" w:hAnsi="宋体" w:eastAsia="宋体" w:cs="宋体"/>
          <w:b w:val="0"/>
          <w:bCs/>
          <w:sz w:val="28"/>
          <w:szCs w:val="28"/>
        </w:rPr>
      </w:pPr>
      <w:r>
        <w:rPr>
          <w:rFonts w:hint="eastAsia" w:ascii="宋体" w:hAnsi="宋体" w:eastAsia="宋体" w:cs="宋体"/>
          <w:b w:val="0"/>
          <w:bCs/>
          <w:color w:val="333333"/>
          <w:kern w:val="0"/>
          <w:sz w:val="28"/>
          <w:szCs w:val="28"/>
        </w:rPr>
        <w:t xml:space="preserve">     </w:t>
      </w:r>
      <w:r>
        <w:rPr>
          <w:rFonts w:hint="eastAsia" w:ascii="宋体" w:hAnsi="宋体" w:eastAsia="宋体" w:cs="宋体"/>
          <w:b w:val="0"/>
          <w:bCs/>
          <w:sz w:val="28"/>
          <w:szCs w:val="28"/>
        </w:rPr>
        <w:t>1.机房竣工图纸审核：完成机房的全套竣工图纸审核，包含图纸审核、机房建筑物选址评价。</w:t>
      </w:r>
    </w:p>
    <w:p>
      <w:pPr>
        <w:pageBreakBefore w:val="0"/>
        <w:widowControl w:val="0"/>
        <w:wordWrap/>
        <w:topLinePunct w:val="0"/>
        <w:autoSpaceDE/>
        <w:autoSpaceDN/>
        <w:bidi w:val="0"/>
        <w:adjustRightInd/>
        <w:snapToGrid/>
        <w:spacing w:line="240" w:lineRule="auto"/>
        <w:ind w:firstLine="840" w:firstLineChars="300"/>
        <w:jc w:val="left"/>
        <w:textAlignment w:val="auto"/>
        <w:rPr>
          <w:rFonts w:hint="eastAsia" w:ascii="宋体" w:hAnsi="宋体" w:eastAsia="宋体" w:cs="宋体"/>
          <w:b w:val="0"/>
          <w:bCs/>
          <w:sz w:val="28"/>
          <w:szCs w:val="28"/>
        </w:rPr>
      </w:pPr>
      <w:r>
        <w:rPr>
          <w:rFonts w:hint="eastAsia" w:ascii="宋体" w:hAnsi="宋体" w:eastAsia="宋体" w:cs="宋体"/>
          <w:b w:val="0"/>
          <w:bCs/>
          <w:sz w:val="28"/>
          <w:szCs w:val="28"/>
        </w:rPr>
        <w:t>2.机房系统架构及工艺勘查认证：完成机房系统架构及工艺勘查认证，包含供配电系统、暖通系统、消防系统、装修系统、防雷接地系统、安防及监控系统、综合布线系统。</w:t>
      </w:r>
    </w:p>
    <w:p>
      <w:pPr>
        <w:pageBreakBefore w:val="0"/>
        <w:widowControl w:val="0"/>
        <w:wordWrap/>
        <w:topLinePunct w:val="0"/>
        <w:autoSpaceDE/>
        <w:autoSpaceDN/>
        <w:bidi w:val="0"/>
        <w:adjustRightInd/>
        <w:snapToGrid/>
        <w:spacing w:line="240" w:lineRule="auto"/>
        <w:ind w:firstLine="840" w:firstLineChars="300"/>
        <w:jc w:val="left"/>
        <w:textAlignment w:val="auto"/>
        <w:rPr>
          <w:rFonts w:hint="eastAsia" w:ascii="宋体" w:hAnsi="宋体" w:eastAsia="宋体" w:cs="宋体"/>
          <w:b w:val="0"/>
          <w:bCs/>
          <w:sz w:val="28"/>
          <w:szCs w:val="28"/>
        </w:rPr>
      </w:pPr>
      <w:r>
        <w:rPr>
          <w:rFonts w:hint="eastAsia" w:ascii="宋体" w:hAnsi="宋体" w:eastAsia="宋体" w:cs="宋体"/>
          <w:b w:val="0"/>
          <w:bCs/>
          <w:sz w:val="28"/>
          <w:szCs w:val="28"/>
        </w:rPr>
        <w:t>3.机房系统功能测试认证：完成机房系统功能及关键指标现场测试认证，包含供配电系统、暖通系统、消防系统、装修系统、防雷接地系统、安防及监控系统、机房基础环境、综合布线系统。</w:t>
      </w:r>
    </w:p>
    <w:p>
      <w:pPr>
        <w:pStyle w:val="6"/>
        <w:pageBreakBefore w:val="0"/>
        <w:widowControl w:val="0"/>
        <w:wordWrap/>
        <w:topLinePunct w:val="0"/>
        <w:autoSpaceDE/>
        <w:autoSpaceDN/>
        <w:bidi w:val="0"/>
        <w:adjustRightInd/>
        <w:snapToGrid/>
        <w:spacing w:before="0" w:after="0" w:line="240" w:lineRule="auto"/>
        <w:jc w:val="left"/>
        <w:textAlignment w:val="auto"/>
        <w:rPr>
          <w:rFonts w:hint="eastAsia" w:ascii="宋体" w:hAnsi="宋体" w:eastAsia="宋体" w:cs="宋体"/>
          <w:b w:val="0"/>
          <w:bCs/>
          <w:sz w:val="28"/>
          <w:szCs w:val="28"/>
        </w:rPr>
      </w:pPr>
      <w:r>
        <w:rPr>
          <w:rFonts w:hint="eastAsia" w:ascii="宋体" w:hAnsi="宋体" w:eastAsia="宋体" w:cs="宋体"/>
          <w:b w:val="0"/>
          <w:bCs/>
          <w:sz w:val="28"/>
          <w:szCs w:val="28"/>
        </w:rPr>
        <w:t xml:space="preserve"> </w:t>
      </w:r>
      <w:r>
        <w:rPr>
          <w:rFonts w:hint="eastAsia" w:ascii="宋体" w:hAnsi="宋体" w:eastAsia="宋体" w:cs="宋体"/>
          <w:b w:val="0"/>
          <w:bCs/>
          <w:sz w:val="28"/>
          <w:szCs w:val="28"/>
          <w:lang w:eastAsia="zh-CN"/>
        </w:rPr>
        <w:t>三、</w:t>
      </w:r>
      <w:r>
        <w:rPr>
          <w:rFonts w:hint="eastAsia" w:ascii="宋体" w:hAnsi="宋体" w:eastAsia="宋体" w:cs="宋体"/>
          <w:b w:val="0"/>
          <w:bCs/>
          <w:sz w:val="28"/>
          <w:szCs w:val="28"/>
        </w:rPr>
        <w:t>测评依据</w:t>
      </w:r>
    </w:p>
    <w:p>
      <w:pPr>
        <w:pStyle w:val="8"/>
        <w:pageBreakBefore w:val="0"/>
        <w:widowControl w:val="0"/>
        <w:kinsoku w:val="0"/>
        <w:wordWrap/>
        <w:overflowPunct w:val="0"/>
        <w:topLinePunct w:val="0"/>
        <w:autoSpaceDE/>
        <w:autoSpaceDN/>
        <w:bidi w:val="0"/>
        <w:adjustRightInd/>
        <w:snapToGrid/>
        <w:spacing w:after="0" w:line="240" w:lineRule="auto"/>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包括但不限于以下标准</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 xml:space="preserve">  </w:t>
      </w:r>
    </w:p>
    <w:p>
      <w:pPr>
        <w:pStyle w:val="8"/>
        <w:pageBreakBefore w:val="0"/>
        <w:widowControl w:val="0"/>
        <w:kinsoku w:val="0"/>
        <w:wordWrap/>
        <w:overflowPunct w:val="0"/>
        <w:topLinePunct w:val="0"/>
        <w:autoSpaceDE/>
        <w:autoSpaceDN/>
        <w:bidi w:val="0"/>
        <w:adjustRightInd/>
        <w:spacing w:after="0" w:line="240" w:lineRule="auto"/>
        <w:ind w:firstLine="840" w:firstLineChars="3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1.《数据中心设计规范》 GB50174-2017  </w:t>
      </w:r>
    </w:p>
    <w:p>
      <w:pPr>
        <w:pStyle w:val="8"/>
        <w:pageBreakBefore w:val="0"/>
        <w:widowControl w:val="0"/>
        <w:kinsoku w:val="0"/>
        <w:wordWrap/>
        <w:overflowPunct w:val="0"/>
        <w:topLinePunct w:val="0"/>
        <w:autoSpaceDE/>
        <w:autoSpaceDN/>
        <w:bidi w:val="0"/>
        <w:adjustRightInd/>
        <w:spacing w:after="0" w:line="240" w:lineRule="auto"/>
        <w:ind w:firstLine="840" w:firstLineChars="3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2.《数据中心基础设施施工及验收规范》 GB50462-2015  </w:t>
      </w:r>
    </w:p>
    <w:p>
      <w:pPr>
        <w:pageBreakBefore w:val="0"/>
        <w:widowControl w:val="0"/>
        <w:wordWrap/>
        <w:topLinePunct w:val="0"/>
        <w:autoSpaceDE/>
        <w:autoSpaceDN/>
        <w:bidi w:val="0"/>
        <w:adjustRightInd/>
        <w:spacing w:line="240" w:lineRule="auto"/>
        <w:ind w:firstLine="840" w:firstLineChars="3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3.《计算机场地通用规范》 GB/T 2887-2011</w:t>
      </w:r>
    </w:p>
    <w:p>
      <w:pPr>
        <w:pStyle w:val="6"/>
        <w:pageBreakBefore w:val="0"/>
        <w:widowControl w:val="0"/>
        <w:wordWrap/>
        <w:topLinePunct w:val="0"/>
        <w:autoSpaceDE/>
        <w:autoSpaceDN/>
        <w:bidi w:val="0"/>
        <w:adjustRightInd/>
        <w:spacing w:before="0" w:after="0" w:line="240" w:lineRule="auto"/>
        <w:jc w:val="left"/>
        <w:textAlignment w:val="auto"/>
        <w:rPr>
          <w:rFonts w:hint="eastAsia" w:ascii="宋体" w:hAnsi="宋体" w:eastAsia="宋体" w:cs="宋体"/>
          <w:b w:val="0"/>
          <w:bCs/>
          <w:sz w:val="28"/>
          <w:szCs w:val="28"/>
        </w:rPr>
      </w:pPr>
      <w:r>
        <w:rPr>
          <w:rFonts w:hint="eastAsia" w:ascii="宋体" w:hAnsi="宋体" w:eastAsia="宋体" w:cs="宋体"/>
          <w:b w:val="0"/>
          <w:bCs/>
          <w:sz w:val="28"/>
          <w:szCs w:val="28"/>
        </w:rPr>
        <w:t xml:space="preserve"> </w:t>
      </w:r>
      <w:r>
        <w:rPr>
          <w:rFonts w:hint="eastAsia" w:ascii="宋体" w:hAnsi="宋体" w:eastAsia="宋体" w:cs="宋体"/>
          <w:b w:val="0"/>
          <w:bCs/>
          <w:sz w:val="28"/>
          <w:szCs w:val="28"/>
          <w:lang w:eastAsia="zh-CN"/>
        </w:rPr>
        <w:t>四、</w:t>
      </w:r>
      <w:r>
        <w:rPr>
          <w:rFonts w:hint="eastAsia" w:ascii="宋体" w:hAnsi="宋体" w:eastAsia="宋体" w:cs="宋体"/>
          <w:b w:val="0"/>
          <w:bCs/>
          <w:sz w:val="28"/>
          <w:szCs w:val="28"/>
        </w:rPr>
        <w:t>测评技术要求</w:t>
      </w:r>
    </w:p>
    <w:p>
      <w:pPr>
        <w:pStyle w:val="8"/>
        <w:pageBreakBefore w:val="0"/>
        <w:widowControl w:val="0"/>
        <w:kinsoku w:val="0"/>
        <w:wordWrap/>
        <w:overflowPunct w:val="0"/>
        <w:topLinePunct w:val="0"/>
        <w:autoSpaceDE/>
        <w:autoSpaceDN/>
        <w:bidi w:val="0"/>
        <w:adjustRightInd/>
        <w:spacing w:after="0" w:line="240" w:lineRule="auto"/>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color w:val="333333"/>
          <w:kern w:val="0"/>
          <w:sz w:val="28"/>
          <w:szCs w:val="28"/>
        </w:rPr>
        <w:t> </w:t>
      </w:r>
      <w:r>
        <w:rPr>
          <w:rFonts w:hint="eastAsia" w:ascii="宋体" w:hAnsi="宋体" w:eastAsia="宋体" w:cs="宋体"/>
          <w:b w:val="0"/>
          <w:bCs/>
          <w:sz w:val="28"/>
          <w:szCs w:val="28"/>
        </w:rPr>
        <w:t>1. 出具相关《计算机机房等级测评报告》</w:t>
      </w:r>
    </w:p>
    <w:p>
      <w:pPr>
        <w:pStyle w:val="8"/>
        <w:pageBreakBefore w:val="0"/>
        <w:widowControl w:val="0"/>
        <w:kinsoku w:val="0"/>
        <w:wordWrap/>
        <w:overflowPunct w:val="0"/>
        <w:topLinePunct w:val="0"/>
        <w:autoSpaceDE/>
        <w:autoSpaceDN/>
        <w:bidi w:val="0"/>
        <w:adjustRightInd/>
        <w:spacing w:after="0" w:line="240" w:lineRule="auto"/>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 xml:space="preserve">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2. 提供数据中心机房国标等级测评认证申报服务:</w:t>
      </w:r>
    </w:p>
    <w:p>
      <w:pPr>
        <w:pStyle w:val="8"/>
        <w:pageBreakBefore w:val="0"/>
        <w:widowControl w:val="0"/>
        <w:kinsoku w:val="0"/>
        <w:wordWrap/>
        <w:overflowPunct w:val="0"/>
        <w:topLinePunct w:val="0"/>
        <w:autoSpaceDE/>
        <w:autoSpaceDN/>
        <w:bidi w:val="0"/>
        <w:adjustRightInd/>
        <w:spacing w:after="0" w:line="240" w:lineRule="auto"/>
        <w:ind w:firstLine="1120" w:firstLineChars="4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●完成机房基础设施国标等级证书申报</w:t>
      </w:r>
    </w:p>
    <w:p>
      <w:pPr>
        <w:pStyle w:val="8"/>
        <w:pageBreakBefore w:val="0"/>
        <w:widowControl w:val="0"/>
        <w:kinsoku w:val="0"/>
        <w:wordWrap/>
        <w:overflowPunct w:val="0"/>
        <w:topLinePunct w:val="0"/>
        <w:autoSpaceDE/>
        <w:autoSpaceDN/>
        <w:bidi w:val="0"/>
        <w:adjustRightInd/>
        <w:spacing w:after="0" w:line="240" w:lineRule="auto"/>
        <w:ind w:firstLine="1120" w:firstLineChars="4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●完成认证证书的注册信息、审批、监督等服务</w:t>
      </w:r>
    </w:p>
    <w:p>
      <w:pPr>
        <w:pStyle w:val="8"/>
        <w:pageBreakBefore w:val="0"/>
        <w:widowControl w:val="0"/>
        <w:kinsoku w:val="0"/>
        <w:wordWrap/>
        <w:overflowPunct w:val="0"/>
        <w:topLinePunct w:val="0"/>
        <w:autoSpaceDE/>
        <w:autoSpaceDN/>
        <w:bidi w:val="0"/>
        <w:adjustRightInd/>
        <w:spacing w:after="0" w:line="240" w:lineRule="auto"/>
        <w:ind w:firstLine="1120" w:firstLineChars="4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●证书国家认证认可监督管理委员会(</w:t>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HYPERLINK "http://cx.cnca.cn" </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rPr>
        <w:t>http://cx.cnca.cn</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t>)可查</w:t>
      </w:r>
    </w:p>
    <w:p>
      <w:pPr>
        <w:pStyle w:val="8"/>
        <w:pageBreakBefore w:val="0"/>
        <w:widowControl w:val="0"/>
        <w:kinsoku w:val="0"/>
        <w:wordWrap/>
        <w:overflowPunct w:val="0"/>
        <w:topLinePunct w:val="0"/>
        <w:autoSpaceDE/>
        <w:autoSpaceDN/>
        <w:bidi w:val="0"/>
        <w:adjustRightInd/>
        <w:spacing w:after="0" w:line="240" w:lineRule="auto"/>
        <w:ind w:firstLine="1120" w:firstLineChars="4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●认证证书具备唯一性，仅供</w:t>
      </w:r>
      <w:r>
        <w:rPr>
          <w:rFonts w:hint="eastAsia" w:ascii="宋体" w:hAnsi="宋体" w:eastAsia="宋体" w:cs="宋体"/>
          <w:b w:val="0"/>
          <w:bCs/>
          <w:sz w:val="28"/>
          <w:szCs w:val="28"/>
          <w:lang w:eastAsia="zh-CN"/>
        </w:rPr>
        <w:t>芜湖市第一人民</w:t>
      </w:r>
      <w:r>
        <w:rPr>
          <w:rFonts w:hint="eastAsia" w:ascii="宋体" w:hAnsi="宋体" w:eastAsia="宋体" w:cs="宋体"/>
          <w:b w:val="0"/>
          <w:bCs/>
          <w:sz w:val="28"/>
          <w:szCs w:val="28"/>
        </w:rPr>
        <w:t>医院使用</w:t>
      </w:r>
    </w:p>
    <w:p>
      <w:pPr>
        <w:pStyle w:val="8"/>
        <w:pageBreakBefore w:val="0"/>
        <w:widowControl w:val="0"/>
        <w:kinsoku w:val="0"/>
        <w:wordWrap/>
        <w:overflowPunct w:val="0"/>
        <w:topLinePunct w:val="0"/>
        <w:autoSpaceDE/>
        <w:autoSpaceDN/>
        <w:bidi w:val="0"/>
        <w:adjustRightInd/>
        <w:spacing w:after="0" w:line="240" w:lineRule="auto"/>
        <w:ind w:firstLine="1120" w:firstLineChars="4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●证书有效期内定期监督维持证书的有效性</w:t>
      </w:r>
      <w:bookmarkStart w:id="0" w:name="_Toc189387057"/>
    </w:p>
    <w:p>
      <w:pPr>
        <w:pStyle w:val="8"/>
        <w:pageBreakBefore w:val="0"/>
        <w:widowControl w:val="0"/>
        <w:kinsoku w:val="0"/>
        <w:wordWrap/>
        <w:overflowPunct w:val="0"/>
        <w:topLinePunct w:val="0"/>
        <w:autoSpaceDE/>
        <w:autoSpaceDN/>
        <w:bidi w:val="0"/>
        <w:adjustRightInd/>
        <w:spacing w:after="0" w:line="240" w:lineRule="auto"/>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注：信息机房情况以</w:t>
      </w:r>
      <w:r>
        <w:rPr>
          <w:rFonts w:hint="eastAsia" w:ascii="宋体" w:hAnsi="宋体" w:eastAsia="宋体" w:cs="宋体"/>
          <w:b w:val="0"/>
          <w:bCs/>
          <w:sz w:val="28"/>
          <w:szCs w:val="28"/>
          <w:lang w:eastAsia="zh-CN"/>
        </w:rPr>
        <w:t>供应商</w:t>
      </w:r>
      <w:r>
        <w:rPr>
          <w:rFonts w:hint="eastAsia" w:ascii="宋体" w:hAnsi="宋体" w:eastAsia="宋体" w:cs="宋体"/>
          <w:b w:val="0"/>
          <w:bCs/>
          <w:sz w:val="28"/>
          <w:szCs w:val="28"/>
        </w:rPr>
        <w:t>实地勘测为准，</w:t>
      </w:r>
      <w:r>
        <w:rPr>
          <w:rFonts w:hint="eastAsia" w:ascii="宋体" w:hAnsi="宋体" w:eastAsia="宋体" w:cs="宋体"/>
          <w:b w:val="0"/>
          <w:bCs/>
          <w:sz w:val="28"/>
          <w:szCs w:val="28"/>
          <w:lang w:eastAsia="zh-CN"/>
        </w:rPr>
        <w:t>供应商</w:t>
      </w:r>
      <w:r>
        <w:rPr>
          <w:rFonts w:hint="eastAsia" w:ascii="宋体" w:hAnsi="宋体" w:eastAsia="宋体" w:cs="宋体"/>
          <w:b w:val="0"/>
          <w:bCs/>
          <w:sz w:val="28"/>
          <w:szCs w:val="28"/>
        </w:rPr>
        <w:t>报价应包含</w:t>
      </w:r>
      <w:r>
        <w:rPr>
          <w:rFonts w:hint="eastAsia" w:ascii="宋体" w:hAnsi="宋体" w:eastAsia="宋体" w:cs="宋体"/>
          <w:b w:val="0"/>
          <w:bCs/>
          <w:sz w:val="28"/>
          <w:szCs w:val="28"/>
          <w:lang w:eastAsia="zh-CN"/>
        </w:rPr>
        <w:t>采购</w:t>
      </w:r>
      <w:r>
        <w:rPr>
          <w:rFonts w:hint="eastAsia" w:ascii="宋体" w:hAnsi="宋体" w:eastAsia="宋体" w:cs="宋体"/>
          <w:b w:val="0"/>
          <w:bCs/>
          <w:sz w:val="28"/>
          <w:szCs w:val="28"/>
        </w:rPr>
        <w:t>人全部需测评的对象，</w:t>
      </w:r>
      <w:r>
        <w:rPr>
          <w:rFonts w:hint="eastAsia" w:ascii="宋体" w:hAnsi="宋体" w:eastAsia="宋体" w:cs="宋体"/>
          <w:b w:val="0"/>
          <w:bCs/>
          <w:sz w:val="28"/>
          <w:szCs w:val="28"/>
          <w:lang w:eastAsia="zh-CN"/>
        </w:rPr>
        <w:t>采购</w:t>
      </w:r>
      <w:r>
        <w:rPr>
          <w:rFonts w:hint="eastAsia" w:ascii="宋体" w:hAnsi="宋体" w:eastAsia="宋体" w:cs="宋体"/>
          <w:b w:val="0"/>
          <w:bCs/>
          <w:sz w:val="28"/>
          <w:szCs w:val="28"/>
        </w:rPr>
        <w:t>人不再另行支付其他的维护费用。</w:t>
      </w:r>
    </w:p>
    <w:p>
      <w:pPr>
        <w:pStyle w:val="5"/>
        <w:pageBreakBefore w:val="0"/>
        <w:widowControl w:val="0"/>
        <w:wordWrap/>
        <w:topLinePunct w:val="0"/>
        <w:autoSpaceDE/>
        <w:autoSpaceDN/>
        <w:bidi w:val="0"/>
        <w:adjustRightInd/>
        <w:spacing w:line="24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lang w:eastAsia="zh-CN"/>
        </w:rPr>
        <w:t>五、</w:t>
      </w:r>
      <w:r>
        <w:rPr>
          <w:rFonts w:hint="eastAsia" w:ascii="宋体" w:hAnsi="宋体" w:eastAsia="宋体" w:cs="宋体"/>
          <w:b w:val="0"/>
          <w:bCs/>
          <w:sz w:val="28"/>
          <w:szCs w:val="28"/>
        </w:rPr>
        <w:t>其它服务要求</w:t>
      </w:r>
    </w:p>
    <w:p>
      <w:pPr>
        <w:pStyle w:val="6"/>
        <w:pageBreakBefore w:val="0"/>
        <w:widowControl w:val="0"/>
        <w:wordWrap/>
        <w:topLinePunct w:val="0"/>
        <w:autoSpaceDE/>
        <w:autoSpaceDN/>
        <w:bidi w:val="0"/>
        <w:adjustRightInd/>
        <w:spacing w:before="0" w:after="0" w:line="240" w:lineRule="auto"/>
        <w:ind w:firstLine="280" w:firstLineChars="100"/>
        <w:jc w:val="left"/>
        <w:textAlignment w:val="auto"/>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 xml:space="preserve">1. </w:t>
      </w:r>
      <w:r>
        <w:rPr>
          <w:rFonts w:hint="eastAsia" w:ascii="宋体" w:hAnsi="宋体" w:eastAsia="宋体" w:cs="宋体"/>
          <w:b w:val="0"/>
          <w:bCs/>
          <w:sz w:val="28"/>
          <w:szCs w:val="28"/>
        </w:rPr>
        <w:t>现场服务要求</w:t>
      </w:r>
    </w:p>
    <w:p>
      <w:pPr>
        <w:pageBreakBefore w:val="0"/>
        <w:widowControl w:val="0"/>
        <w:wordWrap/>
        <w:topLinePunct w:val="0"/>
        <w:autoSpaceDE/>
        <w:autoSpaceDN/>
        <w:bidi w:val="0"/>
        <w:adjustRightInd/>
        <w:spacing w:line="240" w:lineRule="auto"/>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供应商须制定详细的测评方案及计划，向</w:t>
      </w:r>
      <w:r>
        <w:rPr>
          <w:rFonts w:hint="eastAsia" w:ascii="宋体" w:hAnsi="宋体" w:eastAsia="宋体" w:cs="宋体"/>
          <w:b w:val="0"/>
          <w:bCs/>
          <w:sz w:val="28"/>
          <w:szCs w:val="28"/>
          <w:lang w:eastAsia="zh-CN"/>
        </w:rPr>
        <w:t>采购</w:t>
      </w:r>
      <w:r>
        <w:rPr>
          <w:rFonts w:hint="eastAsia" w:ascii="宋体" w:hAnsi="宋体" w:eastAsia="宋体" w:cs="宋体"/>
          <w:b w:val="0"/>
          <w:bCs/>
          <w:sz w:val="28"/>
          <w:szCs w:val="28"/>
        </w:rPr>
        <w:t>人提交详细的测评报告和详细资料。须为</w:t>
      </w:r>
      <w:r>
        <w:rPr>
          <w:rFonts w:hint="eastAsia" w:ascii="宋体" w:hAnsi="宋体" w:eastAsia="宋体" w:cs="宋体"/>
          <w:b w:val="0"/>
          <w:bCs/>
          <w:sz w:val="28"/>
          <w:szCs w:val="28"/>
          <w:lang w:eastAsia="zh-CN"/>
        </w:rPr>
        <w:t>采购</w:t>
      </w:r>
      <w:r>
        <w:rPr>
          <w:rFonts w:hint="eastAsia" w:ascii="宋体" w:hAnsi="宋体" w:eastAsia="宋体" w:cs="宋体"/>
          <w:b w:val="0"/>
          <w:bCs/>
          <w:sz w:val="28"/>
          <w:szCs w:val="28"/>
        </w:rPr>
        <w:t>人提供在测评过程中遇到的任何问题和咨询的技术支持服务。</w:t>
      </w:r>
    </w:p>
    <w:p>
      <w:pPr>
        <w:pStyle w:val="6"/>
        <w:pageBreakBefore w:val="0"/>
        <w:widowControl w:val="0"/>
        <w:numPr>
          <w:ilvl w:val="0"/>
          <w:numId w:val="1"/>
        </w:numPr>
        <w:wordWrap/>
        <w:topLinePunct w:val="0"/>
        <w:autoSpaceDE/>
        <w:autoSpaceDN/>
        <w:bidi w:val="0"/>
        <w:adjustRightInd/>
        <w:spacing w:before="0" w:after="0" w:line="240" w:lineRule="auto"/>
        <w:ind w:firstLine="280" w:firstLineChars="100"/>
        <w:jc w:val="left"/>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服务期</w:t>
      </w:r>
    </w:p>
    <w:p>
      <w:pPr>
        <w:pStyle w:val="8"/>
        <w:pageBreakBefore w:val="0"/>
        <w:widowControl w:val="0"/>
        <w:kinsoku w:val="0"/>
        <w:wordWrap/>
        <w:overflowPunct w:val="0"/>
        <w:topLinePunct w:val="0"/>
        <w:autoSpaceDE/>
        <w:autoSpaceDN/>
        <w:bidi w:val="0"/>
        <w:adjustRightInd/>
        <w:spacing w:after="0" w:line="240" w:lineRule="auto"/>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自合同签字生效之日起一个月内完成测评工作，提供测评报告，完成证书申报工作。</w:t>
      </w:r>
    </w:p>
    <w:p>
      <w:pPr>
        <w:pStyle w:val="6"/>
        <w:pageBreakBefore w:val="0"/>
        <w:widowControl w:val="0"/>
        <w:numPr>
          <w:ilvl w:val="0"/>
          <w:numId w:val="1"/>
        </w:numPr>
        <w:wordWrap/>
        <w:topLinePunct w:val="0"/>
        <w:autoSpaceDE/>
        <w:autoSpaceDN/>
        <w:bidi w:val="0"/>
        <w:adjustRightInd/>
        <w:spacing w:before="0" w:after="0" w:line="240" w:lineRule="auto"/>
        <w:ind w:left="0" w:leftChars="0" w:firstLine="280" w:firstLineChars="100"/>
        <w:jc w:val="left"/>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技术服务能力要求</w:t>
      </w:r>
    </w:p>
    <w:p>
      <w:pPr>
        <w:pageBreakBefore w:val="0"/>
        <w:widowControl w:val="0"/>
        <w:wordWrap/>
        <w:topLinePunct w:val="0"/>
        <w:autoSpaceDE/>
        <w:autoSpaceDN/>
        <w:bidi w:val="0"/>
        <w:adjustRightInd/>
        <w:spacing w:line="240" w:lineRule="auto"/>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lang w:eastAsia="zh-CN"/>
        </w:rPr>
        <w:t>供应商</w:t>
      </w:r>
      <w:r>
        <w:rPr>
          <w:rFonts w:hint="eastAsia" w:ascii="宋体" w:hAnsi="宋体" w:eastAsia="宋体" w:cs="宋体"/>
          <w:b w:val="0"/>
          <w:bCs/>
          <w:sz w:val="28"/>
          <w:szCs w:val="28"/>
        </w:rPr>
        <w:t>在</w:t>
      </w:r>
      <w:r>
        <w:rPr>
          <w:rFonts w:hint="eastAsia" w:ascii="宋体" w:hAnsi="宋体" w:eastAsia="宋体" w:cs="宋体"/>
          <w:b w:val="0"/>
          <w:bCs/>
          <w:sz w:val="28"/>
          <w:szCs w:val="28"/>
          <w:lang w:eastAsia="zh-CN"/>
        </w:rPr>
        <w:t>响应</w:t>
      </w:r>
      <w:r>
        <w:rPr>
          <w:rFonts w:hint="eastAsia" w:ascii="宋体" w:hAnsi="宋体" w:eastAsia="宋体" w:cs="宋体"/>
          <w:b w:val="0"/>
          <w:bCs/>
          <w:sz w:val="28"/>
          <w:szCs w:val="28"/>
        </w:rPr>
        <w:t>文件中须提供技术实力承诺书，由</w:t>
      </w:r>
      <w:r>
        <w:rPr>
          <w:rFonts w:hint="eastAsia" w:ascii="宋体" w:hAnsi="宋体" w:eastAsia="宋体" w:cs="宋体"/>
          <w:b w:val="0"/>
          <w:bCs/>
          <w:sz w:val="28"/>
          <w:szCs w:val="28"/>
          <w:lang w:eastAsia="zh-CN"/>
        </w:rPr>
        <w:t>采购</w:t>
      </w:r>
      <w:r>
        <w:rPr>
          <w:rFonts w:hint="eastAsia" w:ascii="宋体" w:hAnsi="宋体" w:eastAsia="宋体" w:cs="宋体"/>
          <w:b w:val="0"/>
          <w:bCs/>
          <w:sz w:val="28"/>
          <w:szCs w:val="28"/>
        </w:rPr>
        <w:t>人在中标供应商进场服务前核查人员配备情况，人员须按照要求配备到位，否则采购人有权解除合同并报监管部门按规定处理。</w:t>
      </w:r>
    </w:p>
    <w:p>
      <w:pPr>
        <w:pStyle w:val="6"/>
        <w:pageBreakBefore w:val="0"/>
        <w:widowControl w:val="0"/>
        <w:numPr>
          <w:ilvl w:val="0"/>
          <w:numId w:val="1"/>
        </w:numPr>
        <w:wordWrap/>
        <w:topLinePunct w:val="0"/>
        <w:autoSpaceDE/>
        <w:autoSpaceDN/>
        <w:bidi w:val="0"/>
        <w:adjustRightInd/>
        <w:spacing w:before="0" w:after="0" w:line="240" w:lineRule="auto"/>
        <w:ind w:left="0" w:leftChars="0" w:firstLine="280" w:firstLineChars="100"/>
        <w:jc w:val="left"/>
        <w:textAlignment w:val="auto"/>
        <w:rPr>
          <w:rFonts w:hint="eastAsia" w:ascii="宋体" w:hAnsi="宋体" w:eastAsia="宋体" w:cs="宋体"/>
          <w:b w:val="0"/>
          <w:bCs/>
          <w:sz w:val="28"/>
          <w:szCs w:val="28"/>
        </w:rPr>
      </w:pPr>
      <w:r>
        <w:rPr>
          <w:rFonts w:hint="eastAsia" w:ascii="宋体" w:hAnsi="宋体" w:eastAsia="宋体" w:cs="宋体"/>
          <w:b w:val="0"/>
          <w:bCs/>
          <w:sz w:val="28"/>
          <w:szCs w:val="28"/>
        </w:rPr>
        <w:t>保密要求</w:t>
      </w:r>
    </w:p>
    <w:p>
      <w:pPr>
        <w:pageBreakBefore w:val="0"/>
        <w:widowControl w:val="0"/>
        <w:wordWrap/>
        <w:topLinePunct w:val="0"/>
        <w:autoSpaceDE/>
        <w:autoSpaceDN/>
        <w:bidi w:val="0"/>
        <w:adjustRightInd/>
        <w:spacing w:line="240" w:lineRule="auto"/>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中标人在本项目实施过程中掌握的用户所有文档及数据资料，中标人应严格保密，未经用户方书面许可，不得向第三方泄漏。中标人的测评技术人员在本项目实施过程中接触到的用户所有文档及数据资料，测评技术人员应严格保密，不得擅自拷贝，不得向他人泄漏。</w:t>
      </w:r>
    </w:p>
    <w:p>
      <w:pPr>
        <w:pageBreakBefore w:val="0"/>
        <w:widowControl w:val="0"/>
        <w:wordWrap/>
        <w:topLinePunct w:val="0"/>
        <w:autoSpaceDE/>
        <w:autoSpaceDN/>
        <w:bidi w:val="0"/>
        <w:adjustRightInd/>
        <w:spacing w:line="240" w:lineRule="auto"/>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中标人及测评技术人员须与招标人签署保密协议，承诺严守工作中涉及的敏感数据。严禁违规行为（违规行为包括但不限于以下3种行为）。出现问题，中标人及测评技术人员承担法律责任。</w:t>
      </w:r>
    </w:p>
    <w:p>
      <w:pPr>
        <w:pageBreakBefore w:val="0"/>
        <w:widowControl w:val="0"/>
        <w:wordWrap/>
        <w:topLinePunct w:val="0"/>
        <w:autoSpaceDE/>
        <w:autoSpaceDN/>
        <w:bidi w:val="0"/>
        <w:adjustRightInd/>
        <w:spacing w:line="240" w:lineRule="auto"/>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（1）未征得</w:t>
      </w:r>
      <w:r>
        <w:rPr>
          <w:rFonts w:hint="eastAsia" w:ascii="宋体" w:hAnsi="宋体" w:eastAsia="宋体" w:cs="宋体"/>
          <w:b w:val="0"/>
          <w:bCs/>
          <w:sz w:val="28"/>
          <w:szCs w:val="28"/>
          <w:lang w:eastAsia="zh-CN"/>
        </w:rPr>
        <w:t>采购</w:t>
      </w:r>
      <w:r>
        <w:rPr>
          <w:rFonts w:hint="eastAsia" w:ascii="宋体" w:hAnsi="宋体" w:eastAsia="宋体" w:cs="宋体"/>
          <w:b w:val="0"/>
          <w:bCs/>
          <w:sz w:val="28"/>
          <w:szCs w:val="28"/>
        </w:rPr>
        <w:t>人授权，测评技术人员严禁私自查询、复制、泄露、修改任何系统的配置参数、业务数据。</w:t>
      </w:r>
    </w:p>
    <w:p>
      <w:pPr>
        <w:pageBreakBefore w:val="0"/>
        <w:widowControl w:val="0"/>
        <w:wordWrap/>
        <w:topLinePunct w:val="0"/>
        <w:autoSpaceDE/>
        <w:autoSpaceDN/>
        <w:bidi w:val="0"/>
        <w:adjustRightInd/>
        <w:spacing w:line="240" w:lineRule="auto"/>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（2）未征得采购人授权，测评技术人员严禁对系统实施用户、角色、对象或权限的新建、变更、删除等操作。</w:t>
      </w:r>
    </w:p>
    <w:p>
      <w:pPr>
        <w:pStyle w:val="8"/>
        <w:pageBreakBefore w:val="0"/>
        <w:widowControl w:val="0"/>
        <w:kinsoku w:val="0"/>
        <w:wordWrap/>
        <w:overflowPunct w:val="0"/>
        <w:topLinePunct w:val="0"/>
        <w:autoSpaceDE/>
        <w:autoSpaceDN/>
        <w:bidi w:val="0"/>
        <w:adjustRightInd/>
        <w:spacing w:after="0" w:line="240" w:lineRule="auto"/>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（3）未征得采购人授权，测评技术人员严禁修改系统已有的接入访问控制。</w:t>
      </w:r>
      <w:bookmarkStart w:id="1" w:name="_Toc158086284"/>
    </w:p>
    <w:p>
      <w:pPr>
        <w:pStyle w:val="8"/>
        <w:pageBreakBefore w:val="0"/>
        <w:widowControl w:val="0"/>
        <w:numPr>
          <w:ilvl w:val="0"/>
          <w:numId w:val="1"/>
        </w:numPr>
        <w:kinsoku w:val="0"/>
        <w:wordWrap/>
        <w:overflowPunct w:val="0"/>
        <w:topLinePunct w:val="0"/>
        <w:autoSpaceDE/>
        <w:autoSpaceDN/>
        <w:bidi w:val="0"/>
        <w:adjustRightInd/>
        <w:spacing w:after="0" w:line="240" w:lineRule="auto"/>
        <w:ind w:left="0" w:leftChars="0" w:firstLine="280" w:firstLineChars="100"/>
        <w:textAlignment w:val="auto"/>
        <w:rPr>
          <w:rFonts w:hint="eastAsia" w:ascii="宋体" w:hAnsi="宋体" w:eastAsia="宋体" w:cs="宋体"/>
          <w:b w:val="0"/>
          <w:bCs/>
          <w:sz w:val="28"/>
          <w:szCs w:val="28"/>
        </w:rPr>
      </w:pPr>
      <w:r>
        <w:rPr>
          <w:rFonts w:hint="eastAsia" w:ascii="宋体" w:hAnsi="宋体" w:eastAsia="宋体" w:cs="宋体"/>
          <w:b w:val="0"/>
          <w:bCs/>
          <w:kern w:val="44"/>
          <w:sz w:val="28"/>
          <w:szCs w:val="28"/>
        </w:rPr>
        <w:t>质量保证体系</w:t>
      </w:r>
      <w:bookmarkEnd w:id="1"/>
    </w:p>
    <w:p>
      <w:pPr>
        <w:pageBreakBefore w:val="0"/>
        <w:widowControl w:val="0"/>
        <w:wordWrap/>
        <w:topLinePunct w:val="0"/>
        <w:autoSpaceDE/>
        <w:autoSpaceDN/>
        <w:bidi w:val="0"/>
        <w:adjustRightInd/>
        <w:spacing w:line="240" w:lineRule="auto"/>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1</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 xml:space="preserve"> </w:t>
      </w:r>
      <w:r>
        <w:rPr>
          <w:rFonts w:hint="eastAsia" w:ascii="宋体" w:hAnsi="宋体" w:eastAsia="宋体" w:cs="宋体"/>
          <w:b w:val="0"/>
          <w:bCs/>
          <w:sz w:val="28"/>
          <w:szCs w:val="28"/>
          <w:lang w:eastAsia="zh-CN"/>
        </w:rPr>
        <w:t>供应商</w:t>
      </w:r>
      <w:r>
        <w:rPr>
          <w:rFonts w:hint="eastAsia" w:ascii="宋体" w:hAnsi="宋体" w:eastAsia="宋体" w:cs="宋体"/>
          <w:b w:val="0"/>
          <w:bCs/>
          <w:sz w:val="28"/>
          <w:szCs w:val="28"/>
        </w:rPr>
        <w:t>应贯彻执行ISO9000质量保证体系。</w:t>
      </w:r>
    </w:p>
    <w:p>
      <w:pPr>
        <w:pageBreakBefore w:val="0"/>
        <w:widowControl w:val="0"/>
        <w:wordWrap/>
        <w:topLinePunct w:val="0"/>
        <w:autoSpaceDE/>
        <w:autoSpaceDN/>
        <w:bidi w:val="0"/>
        <w:adjustRightInd/>
        <w:spacing w:line="240" w:lineRule="auto"/>
        <w:ind w:firstLine="560" w:firstLineChars="200"/>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2</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 xml:space="preserve"> 投标方提供的服务应符合本技术规格中的各项规定并按照不低于有关国家标准和行业标准的</w:t>
      </w:r>
      <w:bookmarkEnd w:id="0"/>
      <w:r>
        <w:rPr>
          <w:rFonts w:hint="eastAsia" w:ascii="宋体" w:hAnsi="宋体" w:eastAsia="宋体" w:cs="宋体"/>
          <w:b w:val="0"/>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afterAutospacing="0" w:line="360" w:lineRule="auto"/>
        <w:textAlignment w:val="auto"/>
        <w:rPr>
          <w:rFonts w:hint="default" w:ascii="宋体" w:hAnsi="宋体" w:cs="宋体"/>
          <w:b w:val="0"/>
          <w:bCs w:val="0"/>
          <w:sz w:val="28"/>
          <w:szCs w:val="28"/>
          <w:lang w:val="en-US" w:eastAsia="zh-CN"/>
        </w:rPr>
      </w:pPr>
    </w:p>
    <w:sectPr>
      <w:head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B0288C"/>
    <w:multiLevelType w:val="singleLevel"/>
    <w:tmpl w:val="AEB0288C"/>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0NjBiNjcwYmU4ZGE2M2I5NjU0ZWM4OWIyNzQwNjUifQ=="/>
  </w:docVars>
  <w:rsids>
    <w:rsidRoot w:val="008E1CD8"/>
    <w:rsid w:val="00035963"/>
    <w:rsid w:val="000920C6"/>
    <w:rsid w:val="000B28F7"/>
    <w:rsid w:val="000D7F6E"/>
    <w:rsid w:val="000E1E20"/>
    <w:rsid w:val="001404A2"/>
    <w:rsid w:val="001503F5"/>
    <w:rsid w:val="00157DF2"/>
    <w:rsid w:val="001A5003"/>
    <w:rsid w:val="0022406C"/>
    <w:rsid w:val="002570E7"/>
    <w:rsid w:val="002C5CD2"/>
    <w:rsid w:val="002D5D3F"/>
    <w:rsid w:val="002E26B7"/>
    <w:rsid w:val="00335046"/>
    <w:rsid w:val="00377BC0"/>
    <w:rsid w:val="003A289C"/>
    <w:rsid w:val="003D3102"/>
    <w:rsid w:val="003E646E"/>
    <w:rsid w:val="00441F97"/>
    <w:rsid w:val="00474E62"/>
    <w:rsid w:val="004A275D"/>
    <w:rsid w:val="004F2BFB"/>
    <w:rsid w:val="004F7966"/>
    <w:rsid w:val="00526C51"/>
    <w:rsid w:val="005273CA"/>
    <w:rsid w:val="00543CB2"/>
    <w:rsid w:val="005B5ADB"/>
    <w:rsid w:val="005C3D6C"/>
    <w:rsid w:val="00632931"/>
    <w:rsid w:val="006E72EE"/>
    <w:rsid w:val="006F64F7"/>
    <w:rsid w:val="006F7708"/>
    <w:rsid w:val="007144CB"/>
    <w:rsid w:val="00733923"/>
    <w:rsid w:val="007B0E9D"/>
    <w:rsid w:val="007D1E32"/>
    <w:rsid w:val="00825939"/>
    <w:rsid w:val="008324BF"/>
    <w:rsid w:val="00852332"/>
    <w:rsid w:val="0087347F"/>
    <w:rsid w:val="008E1CD8"/>
    <w:rsid w:val="00980DF6"/>
    <w:rsid w:val="009B1DFC"/>
    <w:rsid w:val="009E2EDD"/>
    <w:rsid w:val="00A1625C"/>
    <w:rsid w:val="00A1635E"/>
    <w:rsid w:val="00A206CF"/>
    <w:rsid w:val="00A37D01"/>
    <w:rsid w:val="00A50CCF"/>
    <w:rsid w:val="00A93D6D"/>
    <w:rsid w:val="00AA4C88"/>
    <w:rsid w:val="00AE2151"/>
    <w:rsid w:val="00B37A27"/>
    <w:rsid w:val="00B843BB"/>
    <w:rsid w:val="00B87A23"/>
    <w:rsid w:val="00C060A4"/>
    <w:rsid w:val="00C7475D"/>
    <w:rsid w:val="00CF44BD"/>
    <w:rsid w:val="00D33DB8"/>
    <w:rsid w:val="00D97497"/>
    <w:rsid w:val="00DE1FE4"/>
    <w:rsid w:val="00E00948"/>
    <w:rsid w:val="00E01A26"/>
    <w:rsid w:val="00E242E7"/>
    <w:rsid w:val="00E32CDE"/>
    <w:rsid w:val="00E7293A"/>
    <w:rsid w:val="00E84FFB"/>
    <w:rsid w:val="00E8764B"/>
    <w:rsid w:val="00EE2617"/>
    <w:rsid w:val="00EF1D3E"/>
    <w:rsid w:val="00F041B6"/>
    <w:rsid w:val="00F25836"/>
    <w:rsid w:val="00F50D6F"/>
    <w:rsid w:val="00F60497"/>
    <w:rsid w:val="00F73E03"/>
    <w:rsid w:val="00FA2286"/>
    <w:rsid w:val="00FD2B6F"/>
    <w:rsid w:val="0103671C"/>
    <w:rsid w:val="01166F9E"/>
    <w:rsid w:val="01205545"/>
    <w:rsid w:val="01535E53"/>
    <w:rsid w:val="019D1E5B"/>
    <w:rsid w:val="023D4DF5"/>
    <w:rsid w:val="02416D9A"/>
    <w:rsid w:val="02495815"/>
    <w:rsid w:val="02581FE1"/>
    <w:rsid w:val="027564EA"/>
    <w:rsid w:val="02844491"/>
    <w:rsid w:val="02A5428F"/>
    <w:rsid w:val="02D47D22"/>
    <w:rsid w:val="036C0C2F"/>
    <w:rsid w:val="038159BE"/>
    <w:rsid w:val="039E6E60"/>
    <w:rsid w:val="03A67E24"/>
    <w:rsid w:val="03AB4094"/>
    <w:rsid w:val="04652954"/>
    <w:rsid w:val="04AA7770"/>
    <w:rsid w:val="04AE7739"/>
    <w:rsid w:val="04B95611"/>
    <w:rsid w:val="04CB2C4F"/>
    <w:rsid w:val="053E2C37"/>
    <w:rsid w:val="054A711E"/>
    <w:rsid w:val="05515788"/>
    <w:rsid w:val="0557377D"/>
    <w:rsid w:val="05E10278"/>
    <w:rsid w:val="06182EE2"/>
    <w:rsid w:val="0663639C"/>
    <w:rsid w:val="06914FDB"/>
    <w:rsid w:val="06BA399E"/>
    <w:rsid w:val="06EA1BBC"/>
    <w:rsid w:val="074048FA"/>
    <w:rsid w:val="074E79D9"/>
    <w:rsid w:val="07933D67"/>
    <w:rsid w:val="07A90401"/>
    <w:rsid w:val="07B07D3C"/>
    <w:rsid w:val="08525477"/>
    <w:rsid w:val="089E49ED"/>
    <w:rsid w:val="08B566BC"/>
    <w:rsid w:val="08CF6158"/>
    <w:rsid w:val="08E95EBF"/>
    <w:rsid w:val="09A1553A"/>
    <w:rsid w:val="09B945E5"/>
    <w:rsid w:val="09E75A9A"/>
    <w:rsid w:val="0A2A0AAB"/>
    <w:rsid w:val="0B7528DA"/>
    <w:rsid w:val="0BA74CC1"/>
    <w:rsid w:val="0BD47C09"/>
    <w:rsid w:val="0C9B6BDE"/>
    <w:rsid w:val="0D280821"/>
    <w:rsid w:val="0D5318D8"/>
    <w:rsid w:val="0D622E42"/>
    <w:rsid w:val="0DB44BE4"/>
    <w:rsid w:val="0DEE0A80"/>
    <w:rsid w:val="0E1F6CB7"/>
    <w:rsid w:val="0E7C6DC2"/>
    <w:rsid w:val="0E937C96"/>
    <w:rsid w:val="0EC87B45"/>
    <w:rsid w:val="0F0D2715"/>
    <w:rsid w:val="0F1D29C5"/>
    <w:rsid w:val="0F4A390E"/>
    <w:rsid w:val="0F4B34FC"/>
    <w:rsid w:val="0F8B58AE"/>
    <w:rsid w:val="0FAA3FF3"/>
    <w:rsid w:val="108730CB"/>
    <w:rsid w:val="10DF40F8"/>
    <w:rsid w:val="11B84C04"/>
    <w:rsid w:val="11BC4928"/>
    <w:rsid w:val="127579E3"/>
    <w:rsid w:val="12797198"/>
    <w:rsid w:val="12A71606"/>
    <w:rsid w:val="13A6320F"/>
    <w:rsid w:val="13AA55AE"/>
    <w:rsid w:val="13BA1998"/>
    <w:rsid w:val="13D34D6F"/>
    <w:rsid w:val="13EF19E3"/>
    <w:rsid w:val="13FD48C4"/>
    <w:rsid w:val="140347C5"/>
    <w:rsid w:val="14080ADB"/>
    <w:rsid w:val="14730978"/>
    <w:rsid w:val="14A02B86"/>
    <w:rsid w:val="14CA0A27"/>
    <w:rsid w:val="14D47729"/>
    <w:rsid w:val="14EA30D1"/>
    <w:rsid w:val="150C538E"/>
    <w:rsid w:val="15B036FB"/>
    <w:rsid w:val="15DE6260"/>
    <w:rsid w:val="16462BB8"/>
    <w:rsid w:val="164804F8"/>
    <w:rsid w:val="164D1924"/>
    <w:rsid w:val="16F74821"/>
    <w:rsid w:val="172F6DFD"/>
    <w:rsid w:val="17420425"/>
    <w:rsid w:val="17BC3F13"/>
    <w:rsid w:val="18420B2D"/>
    <w:rsid w:val="19580E00"/>
    <w:rsid w:val="1A5021EF"/>
    <w:rsid w:val="1AED50BE"/>
    <w:rsid w:val="1B27747E"/>
    <w:rsid w:val="1BB53B37"/>
    <w:rsid w:val="1C71589A"/>
    <w:rsid w:val="1C9A04F4"/>
    <w:rsid w:val="1CB44478"/>
    <w:rsid w:val="1CBE5A5D"/>
    <w:rsid w:val="1CCB2537"/>
    <w:rsid w:val="1D2E7E9F"/>
    <w:rsid w:val="1D32651B"/>
    <w:rsid w:val="1D3B08CE"/>
    <w:rsid w:val="1DE12565"/>
    <w:rsid w:val="1E5E115D"/>
    <w:rsid w:val="1E6E1AC8"/>
    <w:rsid w:val="1E753C18"/>
    <w:rsid w:val="1E7B491B"/>
    <w:rsid w:val="1E8E3F76"/>
    <w:rsid w:val="1EA10F95"/>
    <w:rsid w:val="1F381F09"/>
    <w:rsid w:val="1F561CF3"/>
    <w:rsid w:val="1F6675A0"/>
    <w:rsid w:val="1FAE1B07"/>
    <w:rsid w:val="1FD00022"/>
    <w:rsid w:val="1FD855E3"/>
    <w:rsid w:val="2033689D"/>
    <w:rsid w:val="203D40EB"/>
    <w:rsid w:val="20FB1077"/>
    <w:rsid w:val="211B61A8"/>
    <w:rsid w:val="21AD28C9"/>
    <w:rsid w:val="22363947"/>
    <w:rsid w:val="22371234"/>
    <w:rsid w:val="225D2FB0"/>
    <w:rsid w:val="22764E62"/>
    <w:rsid w:val="22CF6572"/>
    <w:rsid w:val="23276668"/>
    <w:rsid w:val="23277276"/>
    <w:rsid w:val="23335A1D"/>
    <w:rsid w:val="23CD1907"/>
    <w:rsid w:val="23E2179D"/>
    <w:rsid w:val="247E78C9"/>
    <w:rsid w:val="248129FA"/>
    <w:rsid w:val="24875822"/>
    <w:rsid w:val="24E13FB9"/>
    <w:rsid w:val="24FC52B4"/>
    <w:rsid w:val="25571422"/>
    <w:rsid w:val="25BE2C5B"/>
    <w:rsid w:val="25C2563A"/>
    <w:rsid w:val="25F61B08"/>
    <w:rsid w:val="26A11788"/>
    <w:rsid w:val="26C0404E"/>
    <w:rsid w:val="26C21FB8"/>
    <w:rsid w:val="276305EC"/>
    <w:rsid w:val="276536AF"/>
    <w:rsid w:val="277D2D49"/>
    <w:rsid w:val="27855E15"/>
    <w:rsid w:val="279D37BC"/>
    <w:rsid w:val="27BA0D41"/>
    <w:rsid w:val="27D17500"/>
    <w:rsid w:val="28076522"/>
    <w:rsid w:val="28B3358D"/>
    <w:rsid w:val="291E4722"/>
    <w:rsid w:val="299E1A96"/>
    <w:rsid w:val="2AB8056E"/>
    <w:rsid w:val="2AE035AC"/>
    <w:rsid w:val="2AE141D3"/>
    <w:rsid w:val="2B696F05"/>
    <w:rsid w:val="2BA04044"/>
    <w:rsid w:val="2BB34AF6"/>
    <w:rsid w:val="2BB72EF8"/>
    <w:rsid w:val="2BB94FFA"/>
    <w:rsid w:val="2BDD5A79"/>
    <w:rsid w:val="2C116848"/>
    <w:rsid w:val="2C1D64A7"/>
    <w:rsid w:val="2C2D5A76"/>
    <w:rsid w:val="2CC335AE"/>
    <w:rsid w:val="2D1956DE"/>
    <w:rsid w:val="2D7F172B"/>
    <w:rsid w:val="2D8B211E"/>
    <w:rsid w:val="2D902CCB"/>
    <w:rsid w:val="2E32228F"/>
    <w:rsid w:val="2E6764C9"/>
    <w:rsid w:val="2E8A6F92"/>
    <w:rsid w:val="2E8D7F76"/>
    <w:rsid w:val="2EF60D1A"/>
    <w:rsid w:val="2F607DA2"/>
    <w:rsid w:val="2F64120A"/>
    <w:rsid w:val="2F661DE0"/>
    <w:rsid w:val="2FB81AA9"/>
    <w:rsid w:val="2FE07321"/>
    <w:rsid w:val="30587BC8"/>
    <w:rsid w:val="307A5F9A"/>
    <w:rsid w:val="30E33410"/>
    <w:rsid w:val="30FB34C6"/>
    <w:rsid w:val="31004758"/>
    <w:rsid w:val="311A704E"/>
    <w:rsid w:val="31DD1693"/>
    <w:rsid w:val="32145662"/>
    <w:rsid w:val="32171A47"/>
    <w:rsid w:val="32A3139B"/>
    <w:rsid w:val="32AF623F"/>
    <w:rsid w:val="3307429D"/>
    <w:rsid w:val="332644C4"/>
    <w:rsid w:val="33823702"/>
    <w:rsid w:val="339274FB"/>
    <w:rsid w:val="34315B91"/>
    <w:rsid w:val="34581B0D"/>
    <w:rsid w:val="34A619B3"/>
    <w:rsid w:val="34F0701C"/>
    <w:rsid w:val="34F51FE4"/>
    <w:rsid w:val="35215921"/>
    <w:rsid w:val="35831CB9"/>
    <w:rsid w:val="35D46FAC"/>
    <w:rsid w:val="36804909"/>
    <w:rsid w:val="36886F93"/>
    <w:rsid w:val="368F7609"/>
    <w:rsid w:val="36D71545"/>
    <w:rsid w:val="36D956CD"/>
    <w:rsid w:val="36EE7F32"/>
    <w:rsid w:val="36F72E95"/>
    <w:rsid w:val="375F0BED"/>
    <w:rsid w:val="377271F5"/>
    <w:rsid w:val="3775645B"/>
    <w:rsid w:val="37F82594"/>
    <w:rsid w:val="381A693C"/>
    <w:rsid w:val="38274100"/>
    <w:rsid w:val="38B45B1B"/>
    <w:rsid w:val="38F475FF"/>
    <w:rsid w:val="390256B9"/>
    <w:rsid w:val="3913791C"/>
    <w:rsid w:val="3930054C"/>
    <w:rsid w:val="395B22DF"/>
    <w:rsid w:val="39AD545C"/>
    <w:rsid w:val="3A211756"/>
    <w:rsid w:val="3A815BD6"/>
    <w:rsid w:val="3B0932AE"/>
    <w:rsid w:val="3B1D579B"/>
    <w:rsid w:val="3B67656D"/>
    <w:rsid w:val="3B73361D"/>
    <w:rsid w:val="3BE92744"/>
    <w:rsid w:val="3C1E674C"/>
    <w:rsid w:val="3C872AED"/>
    <w:rsid w:val="3CEF5841"/>
    <w:rsid w:val="3D6904F0"/>
    <w:rsid w:val="3D751880"/>
    <w:rsid w:val="3D787B2C"/>
    <w:rsid w:val="3DEC5DBA"/>
    <w:rsid w:val="3E557966"/>
    <w:rsid w:val="3F007FE6"/>
    <w:rsid w:val="3F1052E7"/>
    <w:rsid w:val="3F1A4A12"/>
    <w:rsid w:val="3F846882"/>
    <w:rsid w:val="3F983B79"/>
    <w:rsid w:val="3FC22ADE"/>
    <w:rsid w:val="403F1D61"/>
    <w:rsid w:val="404E341C"/>
    <w:rsid w:val="406E4BEE"/>
    <w:rsid w:val="40704EDA"/>
    <w:rsid w:val="408F2580"/>
    <w:rsid w:val="40E4217D"/>
    <w:rsid w:val="41E82392"/>
    <w:rsid w:val="43332EA0"/>
    <w:rsid w:val="4377190D"/>
    <w:rsid w:val="44071EFD"/>
    <w:rsid w:val="4419507A"/>
    <w:rsid w:val="442E6E41"/>
    <w:rsid w:val="446928BA"/>
    <w:rsid w:val="446D5BA0"/>
    <w:rsid w:val="44864B32"/>
    <w:rsid w:val="448C5E12"/>
    <w:rsid w:val="448F22F0"/>
    <w:rsid w:val="44942AFA"/>
    <w:rsid w:val="449B3D5C"/>
    <w:rsid w:val="44A848C2"/>
    <w:rsid w:val="44D47A46"/>
    <w:rsid w:val="452F4975"/>
    <w:rsid w:val="45B26E73"/>
    <w:rsid w:val="45B72BC5"/>
    <w:rsid w:val="45C2090A"/>
    <w:rsid w:val="46300D42"/>
    <w:rsid w:val="46346A68"/>
    <w:rsid w:val="464D5B85"/>
    <w:rsid w:val="4655194E"/>
    <w:rsid w:val="466D1EA4"/>
    <w:rsid w:val="46752754"/>
    <w:rsid w:val="467D7E19"/>
    <w:rsid w:val="46E44DD3"/>
    <w:rsid w:val="46EF2924"/>
    <w:rsid w:val="47022F5D"/>
    <w:rsid w:val="47727C33"/>
    <w:rsid w:val="477F2DDB"/>
    <w:rsid w:val="47854093"/>
    <w:rsid w:val="47A53703"/>
    <w:rsid w:val="47D7424C"/>
    <w:rsid w:val="4838777E"/>
    <w:rsid w:val="48492D04"/>
    <w:rsid w:val="486B793F"/>
    <w:rsid w:val="48B61487"/>
    <w:rsid w:val="48E55F07"/>
    <w:rsid w:val="49132400"/>
    <w:rsid w:val="494358B2"/>
    <w:rsid w:val="494E16B7"/>
    <w:rsid w:val="49DE4F15"/>
    <w:rsid w:val="49ED2557"/>
    <w:rsid w:val="49FA4C9F"/>
    <w:rsid w:val="4A8D62BE"/>
    <w:rsid w:val="4AA5596D"/>
    <w:rsid w:val="4AAE1B61"/>
    <w:rsid w:val="4AB61DA6"/>
    <w:rsid w:val="4AC128D7"/>
    <w:rsid w:val="4AD43EA4"/>
    <w:rsid w:val="4AF04D06"/>
    <w:rsid w:val="4B4045C8"/>
    <w:rsid w:val="4B6D07E1"/>
    <w:rsid w:val="4B7D0852"/>
    <w:rsid w:val="4BE17835"/>
    <w:rsid w:val="4C3B6FAC"/>
    <w:rsid w:val="4CAB785C"/>
    <w:rsid w:val="4D402796"/>
    <w:rsid w:val="4D486201"/>
    <w:rsid w:val="4D977A9E"/>
    <w:rsid w:val="4E2225EE"/>
    <w:rsid w:val="4E3F7795"/>
    <w:rsid w:val="4E6D29E4"/>
    <w:rsid w:val="4F1A3771"/>
    <w:rsid w:val="4F87242C"/>
    <w:rsid w:val="4FB40EC2"/>
    <w:rsid w:val="506B0A40"/>
    <w:rsid w:val="50836684"/>
    <w:rsid w:val="509E082D"/>
    <w:rsid w:val="50F04244"/>
    <w:rsid w:val="50F26629"/>
    <w:rsid w:val="512D19FF"/>
    <w:rsid w:val="522C1DA0"/>
    <w:rsid w:val="52EA4955"/>
    <w:rsid w:val="52FB1217"/>
    <w:rsid w:val="5330179B"/>
    <w:rsid w:val="53865265"/>
    <w:rsid w:val="53A262A3"/>
    <w:rsid w:val="53AE2499"/>
    <w:rsid w:val="541D6D87"/>
    <w:rsid w:val="542926B2"/>
    <w:rsid w:val="54BE2136"/>
    <w:rsid w:val="54CA0BA7"/>
    <w:rsid w:val="54D91CE0"/>
    <w:rsid w:val="555D5FD7"/>
    <w:rsid w:val="55613A77"/>
    <w:rsid w:val="55D8128D"/>
    <w:rsid w:val="55DB353C"/>
    <w:rsid w:val="55EF7D71"/>
    <w:rsid w:val="56901E3F"/>
    <w:rsid w:val="569E5795"/>
    <w:rsid w:val="56BA2175"/>
    <w:rsid w:val="56C40B8A"/>
    <w:rsid w:val="573A4F19"/>
    <w:rsid w:val="57FB6C8D"/>
    <w:rsid w:val="580F20D9"/>
    <w:rsid w:val="584943AB"/>
    <w:rsid w:val="58585778"/>
    <w:rsid w:val="58765D8D"/>
    <w:rsid w:val="58E7459E"/>
    <w:rsid w:val="58F63E20"/>
    <w:rsid w:val="59035EE4"/>
    <w:rsid w:val="59467DA4"/>
    <w:rsid w:val="59C02E4C"/>
    <w:rsid w:val="5A192006"/>
    <w:rsid w:val="5A3D78EA"/>
    <w:rsid w:val="5A912B38"/>
    <w:rsid w:val="5ACA30F8"/>
    <w:rsid w:val="5B1D34FE"/>
    <w:rsid w:val="5B2E2A3B"/>
    <w:rsid w:val="5B3D779B"/>
    <w:rsid w:val="5B5D0E1E"/>
    <w:rsid w:val="5B760475"/>
    <w:rsid w:val="5B8B3870"/>
    <w:rsid w:val="5BA32804"/>
    <w:rsid w:val="5BCA2A73"/>
    <w:rsid w:val="5CBF6B37"/>
    <w:rsid w:val="5CFC7CF2"/>
    <w:rsid w:val="5D192F3D"/>
    <w:rsid w:val="5DA403FA"/>
    <w:rsid w:val="5DCE3C62"/>
    <w:rsid w:val="5DD8360A"/>
    <w:rsid w:val="5E026EED"/>
    <w:rsid w:val="5E082B6A"/>
    <w:rsid w:val="5E9C562E"/>
    <w:rsid w:val="5EBE3747"/>
    <w:rsid w:val="5EE742ED"/>
    <w:rsid w:val="5FB908DB"/>
    <w:rsid w:val="6006518D"/>
    <w:rsid w:val="606910E7"/>
    <w:rsid w:val="61196FD9"/>
    <w:rsid w:val="61851D1C"/>
    <w:rsid w:val="6190555E"/>
    <w:rsid w:val="619C6747"/>
    <w:rsid w:val="61DE5037"/>
    <w:rsid w:val="61F55C03"/>
    <w:rsid w:val="623E507B"/>
    <w:rsid w:val="62E26522"/>
    <w:rsid w:val="631F7AA0"/>
    <w:rsid w:val="633A0606"/>
    <w:rsid w:val="638320E2"/>
    <w:rsid w:val="63BC6F61"/>
    <w:rsid w:val="63C26A2C"/>
    <w:rsid w:val="641B3412"/>
    <w:rsid w:val="642D1A31"/>
    <w:rsid w:val="646A7392"/>
    <w:rsid w:val="647F45FC"/>
    <w:rsid w:val="64825ED1"/>
    <w:rsid w:val="64A150C4"/>
    <w:rsid w:val="64AA53A5"/>
    <w:rsid w:val="65017711"/>
    <w:rsid w:val="650C033B"/>
    <w:rsid w:val="656269E2"/>
    <w:rsid w:val="6563564D"/>
    <w:rsid w:val="65700F21"/>
    <w:rsid w:val="65C97793"/>
    <w:rsid w:val="65FE21D0"/>
    <w:rsid w:val="665E2F07"/>
    <w:rsid w:val="66655FBA"/>
    <w:rsid w:val="668478D3"/>
    <w:rsid w:val="668D03C8"/>
    <w:rsid w:val="674C15CB"/>
    <w:rsid w:val="678D7309"/>
    <w:rsid w:val="67AB2FFF"/>
    <w:rsid w:val="67EF6896"/>
    <w:rsid w:val="68224C33"/>
    <w:rsid w:val="68BD3BA7"/>
    <w:rsid w:val="6914430C"/>
    <w:rsid w:val="69194850"/>
    <w:rsid w:val="693315C7"/>
    <w:rsid w:val="693B07FC"/>
    <w:rsid w:val="69987EF6"/>
    <w:rsid w:val="69E96331"/>
    <w:rsid w:val="6A106D8F"/>
    <w:rsid w:val="6A1B2975"/>
    <w:rsid w:val="6A713609"/>
    <w:rsid w:val="6A8961D3"/>
    <w:rsid w:val="6ABE1608"/>
    <w:rsid w:val="6AC8503B"/>
    <w:rsid w:val="6B8077B4"/>
    <w:rsid w:val="6B9C2E4C"/>
    <w:rsid w:val="6BFE3279"/>
    <w:rsid w:val="6C35579F"/>
    <w:rsid w:val="6C3A27B5"/>
    <w:rsid w:val="6C4E7A90"/>
    <w:rsid w:val="6C5775A1"/>
    <w:rsid w:val="6C905D1C"/>
    <w:rsid w:val="6CAE2F39"/>
    <w:rsid w:val="6CBA334A"/>
    <w:rsid w:val="6CBC1595"/>
    <w:rsid w:val="6CE83E09"/>
    <w:rsid w:val="6D0B5F29"/>
    <w:rsid w:val="6D523FE1"/>
    <w:rsid w:val="6D904491"/>
    <w:rsid w:val="6D9A15F8"/>
    <w:rsid w:val="6DC66610"/>
    <w:rsid w:val="6DE262E2"/>
    <w:rsid w:val="6E3F02D4"/>
    <w:rsid w:val="6EC529F2"/>
    <w:rsid w:val="6F003451"/>
    <w:rsid w:val="6F13430F"/>
    <w:rsid w:val="6F520339"/>
    <w:rsid w:val="6F646D9D"/>
    <w:rsid w:val="6F9A681E"/>
    <w:rsid w:val="6FA2188E"/>
    <w:rsid w:val="6FB45539"/>
    <w:rsid w:val="6FBA5FB2"/>
    <w:rsid w:val="70175AD2"/>
    <w:rsid w:val="704F29D3"/>
    <w:rsid w:val="70837B60"/>
    <w:rsid w:val="710F755E"/>
    <w:rsid w:val="7122609C"/>
    <w:rsid w:val="714C7463"/>
    <w:rsid w:val="717B798B"/>
    <w:rsid w:val="72537B85"/>
    <w:rsid w:val="7281089A"/>
    <w:rsid w:val="72C70D71"/>
    <w:rsid w:val="72FE5693"/>
    <w:rsid w:val="732E69AC"/>
    <w:rsid w:val="733E54A2"/>
    <w:rsid w:val="73584E63"/>
    <w:rsid w:val="735F350C"/>
    <w:rsid w:val="73611B6C"/>
    <w:rsid w:val="739D562D"/>
    <w:rsid w:val="73C42372"/>
    <w:rsid w:val="73E05715"/>
    <w:rsid w:val="73E4027A"/>
    <w:rsid w:val="73FE4BD2"/>
    <w:rsid w:val="7417697C"/>
    <w:rsid w:val="74485876"/>
    <w:rsid w:val="74560945"/>
    <w:rsid w:val="74E6501F"/>
    <w:rsid w:val="74FE7344"/>
    <w:rsid w:val="75930607"/>
    <w:rsid w:val="759D3542"/>
    <w:rsid w:val="75BA7D13"/>
    <w:rsid w:val="762749C5"/>
    <w:rsid w:val="76565B82"/>
    <w:rsid w:val="76A02C4B"/>
    <w:rsid w:val="76B93F7F"/>
    <w:rsid w:val="76C00E05"/>
    <w:rsid w:val="77065DF2"/>
    <w:rsid w:val="77306DDF"/>
    <w:rsid w:val="7814248A"/>
    <w:rsid w:val="783A4C13"/>
    <w:rsid w:val="789F425B"/>
    <w:rsid w:val="79373BA4"/>
    <w:rsid w:val="798464E6"/>
    <w:rsid w:val="798B6A31"/>
    <w:rsid w:val="799A0D64"/>
    <w:rsid w:val="79FD0F34"/>
    <w:rsid w:val="7A192F3C"/>
    <w:rsid w:val="7AC7578E"/>
    <w:rsid w:val="7AD20CC2"/>
    <w:rsid w:val="7ADF6ECF"/>
    <w:rsid w:val="7B0A4968"/>
    <w:rsid w:val="7B7A67AF"/>
    <w:rsid w:val="7B9538F4"/>
    <w:rsid w:val="7BEE6EFA"/>
    <w:rsid w:val="7C3050CC"/>
    <w:rsid w:val="7C3427D7"/>
    <w:rsid w:val="7C6D6DD3"/>
    <w:rsid w:val="7C8F2D12"/>
    <w:rsid w:val="7CAC697C"/>
    <w:rsid w:val="7D2708CA"/>
    <w:rsid w:val="7D3500DC"/>
    <w:rsid w:val="7DCD0FF4"/>
    <w:rsid w:val="7E046E24"/>
    <w:rsid w:val="7E4359D8"/>
    <w:rsid w:val="7E6E0E40"/>
    <w:rsid w:val="7E7E71A9"/>
    <w:rsid w:val="7EF1516A"/>
    <w:rsid w:val="7F5755B8"/>
    <w:rsid w:val="7FA30583"/>
    <w:rsid w:val="7FBA29A3"/>
    <w:rsid w:val="7FE951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locked/>
    <w:uiPriority w:val="0"/>
    <w:pPr>
      <w:keepNext/>
      <w:keepLines/>
      <w:spacing w:line="576" w:lineRule="auto"/>
      <w:outlineLvl w:val="0"/>
    </w:pPr>
    <w:rPr>
      <w:b/>
      <w:kern w:val="44"/>
      <w:sz w:val="44"/>
    </w:rPr>
  </w:style>
  <w:style w:type="paragraph" w:styleId="6">
    <w:name w:val="heading 2"/>
    <w:basedOn w:val="1"/>
    <w:next w:val="1"/>
    <w:qFormat/>
    <w:locked/>
    <w:uiPriority w:val="0"/>
    <w:pPr>
      <w:keepNext/>
      <w:keepLines/>
      <w:spacing w:before="260" w:after="260" w:line="360" w:lineRule="auto"/>
      <w:jc w:val="center"/>
      <w:outlineLvl w:val="1"/>
    </w:pPr>
    <w:rPr>
      <w:rFonts w:ascii="Arial" w:hAnsi="Arial" w:eastAsia="黑体"/>
      <w:b/>
      <w:kern w:val="0"/>
      <w:sz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spacing w:after="120"/>
      <w:ind w:left="420" w:leftChars="200" w:firstLine="420" w:firstLineChars="200"/>
    </w:pPr>
    <w:rPr>
      <w:rFonts w:ascii="Times New Roman" w:hAnsi="Times New Roman"/>
      <w:color w:val="auto"/>
      <w:sz w:val="21"/>
      <w:szCs w:val="24"/>
    </w:rPr>
  </w:style>
  <w:style w:type="paragraph" w:styleId="3">
    <w:name w:val="Body Text Indent"/>
    <w:basedOn w:val="1"/>
    <w:next w:val="4"/>
    <w:qFormat/>
    <w:uiPriority w:val="0"/>
    <w:pPr>
      <w:ind w:firstLine="660"/>
    </w:pPr>
    <w:rPr>
      <w:rFonts w:ascii="宋体" w:hAnsi="宋体"/>
      <w:color w:val="000000"/>
      <w:sz w:val="24"/>
      <w:szCs w:val="20"/>
    </w:rPr>
  </w:style>
  <w:style w:type="paragraph" w:styleId="4">
    <w:name w:val="envelope return"/>
    <w:basedOn w:val="1"/>
    <w:qFormat/>
    <w:uiPriority w:val="0"/>
    <w:pPr>
      <w:snapToGrid w:val="0"/>
    </w:pPr>
    <w:rPr>
      <w:rFonts w:ascii="Arial" w:hAnsi="Arial"/>
    </w:rPr>
  </w:style>
  <w:style w:type="paragraph" w:styleId="7">
    <w:name w:val="annotation text"/>
    <w:basedOn w:val="1"/>
    <w:qFormat/>
    <w:uiPriority w:val="0"/>
    <w:pPr>
      <w:jc w:val="left"/>
    </w:pPr>
    <w:rPr>
      <w:rFonts w:ascii="Times New Roman" w:hAnsi="Times New Roman" w:eastAsia="宋体" w:cs="Times New Roman"/>
      <w:szCs w:val="24"/>
    </w:rPr>
  </w:style>
  <w:style w:type="paragraph" w:styleId="8">
    <w:name w:val="Body Text"/>
    <w:basedOn w:val="1"/>
    <w:unhideWhenUsed/>
    <w:qFormat/>
    <w:uiPriority w:val="0"/>
    <w:pPr>
      <w:spacing w:after="120"/>
    </w:pPr>
  </w:style>
  <w:style w:type="paragraph" w:styleId="9">
    <w:name w:val="index 4"/>
    <w:basedOn w:val="1"/>
    <w:next w:val="1"/>
    <w:qFormat/>
    <w:uiPriority w:val="99"/>
    <w:pPr>
      <w:ind w:left="600" w:leftChars="600"/>
    </w:pPr>
    <w:rPr>
      <w:szCs w:val="24"/>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index 1"/>
    <w:basedOn w:val="1"/>
    <w:next w:val="1"/>
    <w:qFormat/>
    <w:uiPriority w:val="0"/>
  </w:style>
  <w:style w:type="paragraph" w:styleId="13">
    <w:name w:val="Title"/>
    <w:basedOn w:val="1"/>
    <w:next w:val="1"/>
    <w:qFormat/>
    <w:locked/>
    <w:uiPriority w:val="10"/>
    <w:pPr>
      <w:spacing w:before="240" w:after="60"/>
      <w:jc w:val="center"/>
      <w:outlineLvl w:val="0"/>
    </w:pPr>
    <w:rPr>
      <w:rFonts w:ascii="Calibri Light" w:hAnsi="Calibri Light" w:eastAsiaTheme="minorEastAsia" w:cstheme="minorBidi"/>
      <w:b/>
      <w:bCs/>
      <w:sz w:val="32"/>
      <w:szCs w:val="32"/>
    </w:rPr>
  </w:style>
  <w:style w:type="table" w:styleId="15">
    <w:name w:val="Table Grid"/>
    <w:basedOn w:val="14"/>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paragraph" w:customStyle="1" w:styleId="18">
    <w:name w:val="p0"/>
    <w:basedOn w:val="1"/>
    <w:qFormat/>
    <w:uiPriority w:val="99"/>
    <w:pPr>
      <w:widowControl/>
    </w:pPr>
    <w:rPr>
      <w:rFonts w:ascii="Times New Roman" w:hAnsi="Times New Roman"/>
      <w:kern w:val="0"/>
      <w:szCs w:val="21"/>
    </w:rPr>
  </w:style>
  <w:style w:type="character" w:customStyle="1" w:styleId="19">
    <w:name w:val="页眉 Char"/>
    <w:basedOn w:val="16"/>
    <w:link w:val="11"/>
    <w:qFormat/>
    <w:uiPriority w:val="99"/>
    <w:rPr>
      <w:sz w:val="18"/>
      <w:szCs w:val="18"/>
    </w:rPr>
  </w:style>
  <w:style w:type="character" w:customStyle="1" w:styleId="20">
    <w:name w:val="页脚 Char"/>
    <w:basedOn w:val="16"/>
    <w:link w:val="10"/>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NormalCharacter"/>
    <w:link w:val="1"/>
    <w:semiHidden/>
    <w:qFormat/>
    <w:uiPriority w:val="0"/>
    <w:rPr>
      <w:rFonts w:ascii="Calibri" w:hAnsi="Calibri" w:eastAsia="宋体" w:cs="Times New Roman"/>
      <w:kern w:val="2"/>
      <w:sz w:val="21"/>
      <w:szCs w:val="22"/>
      <w:lang w:val="en-US" w:eastAsia="zh-CN" w:bidi="ar-SA"/>
    </w:rPr>
  </w:style>
  <w:style w:type="character" w:customStyle="1" w:styleId="23">
    <w:name w:val="font01"/>
    <w:basedOn w:val="16"/>
    <w:qFormat/>
    <w:uiPriority w:val="0"/>
    <w:rPr>
      <w:rFonts w:hint="eastAsia" w:ascii="等线" w:hAnsi="等线" w:eastAsia="等线" w:cs="等线"/>
      <w:color w:val="000000"/>
      <w:sz w:val="22"/>
      <w:szCs w:val="22"/>
      <w:u w:val="none"/>
    </w:rPr>
  </w:style>
  <w:style w:type="character" w:customStyle="1" w:styleId="24">
    <w:name w:val="font41"/>
    <w:basedOn w:val="16"/>
    <w:qFormat/>
    <w:uiPriority w:val="0"/>
    <w:rPr>
      <w:rFonts w:hint="eastAsia" w:ascii="等线" w:hAnsi="等线" w:eastAsia="等线" w:cs="等线"/>
      <w:b/>
      <w:bCs/>
      <w:color w:val="000000"/>
      <w:sz w:val="22"/>
      <w:szCs w:val="22"/>
      <w:u w:val="none"/>
    </w:rPr>
  </w:style>
  <w:style w:type="character" w:customStyle="1" w:styleId="25">
    <w:name w:val="font51"/>
    <w:basedOn w:val="16"/>
    <w:qFormat/>
    <w:uiPriority w:val="0"/>
    <w:rPr>
      <w:rFonts w:hint="eastAsia" w:ascii="宋体" w:hAnsi="宋体" w:eastAsia="宋体" w:cs="宋体"/>
      <w:color w:val="333333"/>
      <w:sz w:val="22"/>
      <w:szCs w:val="22"/>
      <w:u w:val="none"/>
    </w:rPr>
  </w:style>
  <w:style w:type="character" w:customStyle="1" w:styleId="26">
    <w:name w:val="font11"/>
    <w:basedOn w:val="16"/>
    <w:qFormat/>
    <w:uiPriority w:val="0"/>
    <w:rPr>
      <w:rFonts w:hint="eastAsia" w:ascii="宋体" w:hAnsi="宋体" w:eastAsia="宋体" w:cs="宋体"/>
      <w:color w:val="333333"/>
      <w:sz w:val="22"/>
      <w:szCs w:val="22"/>
      <w:u w:val="none"/>
    </w:rPr>
  </w:style>
  <w:style w:type="paragraph" w:customStyle="1" w:styleId="27">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28">
    <w:name w:val="font21"/>
    <w:basedOn w:val="16"/>
    <w:qFormat/>
    <w:uiPriority w:val="0"/>
    <w:rPr>
      <w:rFonts w:hint="default" w:ascii="MS Sans Serif" w:hAnsi="MS Sans Serif" w:eastAsia="MS Sans Serif" w:cs="MS Sans Serif"/>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1298</Words>
  <Characters>1364</Characters>
  <Lines>12</Lines>
  <Paragraphs>3</Paragraphs>
  <TotalTime>13</TotalTime>
  <ScaleCrop>false</ScaleCrop>
  <LinksUpToDate>false</LinksUpToDate>
  <CharactersWithSpaces>1389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2016-06-20T03:15:00Z</dcterms:created>
  <dc:creator>微软中国</dc:creator>
  <cp:lastModifiedBy>静</cp:lastModifiedBy>
  <cp:lastPrinted>2018-05-10T03:43:00Z</cp:lastPrinted>
  <dcterms:modified xsi:type="dcterms:W3CDTF">2022-12-21T08:41:21Z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BF76209506704045A671993F1B5086A7</vt:lpwstr>
  </property>
</Properties>
</file>