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评分办法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商务标评审内容及标准（3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tbl>
      <w:tblPr>
        <w:tblStyle w:val="12"/>
        <w:tblW w:w="9541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3"/>
        <w:gridCol w:w="992"/>
        <w:gridCol w:w="5556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评审项目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5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投标报价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5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本项评审步骤：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1.评标价的确认：评标委员会对所有实质性响应招标文件要求的投标报价进行核查、调整，包括根据本招标文件规定的政府采购政策进行的价格扣除。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1.1价格调整：如供应商对招标文件的内容，特别是对招标范围的理解发生误差，有子项漏报的（即该供应商投标报价为漏项报价），经评标委员会评审，按漏项子项和相关标准（有规定标准的按规定标准，无规定标准的按相应的本次招标中最高的单价报价）计算出该供应商的投标调整价；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1.2价格扣除：供应商的投标报价（如有漏项报价，则为投标调整价）按招标文件规定的价格扣除办法计算其评标价。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2.评标基准价：评标价最低的为评标基准价。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3.投标报价得分计算：评标价为评标基准价的得满分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分。其他供应商的投标报价得分统一按下列公式计算：投标报价得分=（评标基准价/评标价）*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。 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有漏项报价的供应商，在按上述公式计算出其投标报价得分基础上，其漏项报价每低于投标调整价1%，再扣1分，得出该供应商的投标报价最终得分。若其最终中标，则中标价格为其投标报价，供应商应无异议，否则视该投标为无效投标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评标价（含一个或同时多个）低于其他有效供应商的评标价平均值50%时，评标委员会应当要求该供应商作出书面说明并提供相关证明材料。该供应商不能合理说明或不能提供相关证明材料的，视作该投标为无效投标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供应商业绩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6.00</w:t>
            </w:r>
          </w:p>
        </w:tc>
        <w:tc>
          <w:tcPr>
            <w:tcW w:w="55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业绩合同签订时间应自开标之日起上推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内，签订同类产品供货合同的，有一项加2分，加满6分为止。（投标文件中须提供业绩合同，签订时间以业绩合同为准，复印件或扫描件应能辨识买卖双方公章、签订时间，并加盖供应商公章；如业绩合同不能体现以上全部内容，可提供业绩合同甲方加盖公章的证明复印件或扫描件。否则，不得分）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技术标评审内容及标准（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64</w:t>
      </w:r>
      <w:r>
        <w:rPr>
          <w:rFonts w:hint="eastAsia" w:ascii="宋体" w:hAnsi="宋体" w:eastAsia="宋体" w:cs="宋体"/>
          <w:sz w:val="24"/>
          <w:szCs w:val="24"/>
        </w:rPr>
        <w:t>分）</w:t>
      </w:r>
    </w:p>
    <w:tbl>
      <w:tblPr>
        <w:tblStyle w:val="12"/>
        <w:tblW w:w="9541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  <w:gridCol w:w="954"/>
        <w:gridCol w:w="4771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评审项目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分值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投标提供样品的质量、材质、做工工艺等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7"/>
              <w:ind w:left="0" w:lef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根据投标人提供的样品其质量、材质、做工工艺等进行综合评分，优得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分，一般得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分，差得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投标产品对招标文件要求的响应程度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响应程度70%得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分；响应程度80%得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分；响应程度90%得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分；响应程度100%得满分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分。低于70%不得分。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投标产品生产加工工艺及制造水平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产品生产加工工艺及制造水平一流，行业领先，得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分；投标产品生产加工工艺及制造水平较高，完全满足要求，得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分；投标产品生产加工工艺及制造水平一般，能满足要求，得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分；投标产品生产加工工艺及制造水平较低，基本满足要求，得1分；其他或未提供，不得分。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投标产品节能、环保性能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.提供投标产品的国家认定的节能产品认证材料。评标委员会对所有有效供应商提供的材料进行综合评比。提供节能产品品种数量最多的，得2分；提供节能产品品种数量最少的，得0分；范围内采用线性插值法计算得分，计算结果保留两位小数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2.提供投标产品的国家认定的环保产品认证材料。评标委员会对所有有效供应商提供的材料进行综合评比。提供环保产品品种数量最多的，得2分；提供环保产品品种数量最少的，得0分；范围内采用线性插值法计算得分，计算结果保留两位小数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：节能、环保产品必须纳入“中国政府采购网http://www.ccgp.gov.cn”中相应品目清单内，须提供国家确定的认证机构出具的、处于有效期之内的节能产品、环境标志产品认证证书。将上述材料打印放入投标文件中并加盖供应商公章；否则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投标产品使用寿命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评标委员会对产品使用寿命进行综合评比。得1-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投标产品运行成本及维护费用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评标委员会对产品运行成本及维护费用进行综合评比。得1-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投标产品的安全性和可靠性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评标委员会对产品安全性进行综合评比。得1-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设计、安装、调试、验收方案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方案科学有效且具有可操作性的，得3分；方案一般且能满足需要的，得2分；方案不完整但能基本满足需要的，得 1分；方案存在明显缺陷的或无方案的，不得分。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售后服务方案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明确的“售后服务方案”，方案中保修内容与范围、维修响应时间等，满足招标文件要求得2分；优于招标文件要求的，有一项加0.5分，加满1分为止（本项目最多得3分）；与招标文件要求有非实质性负偏离的，有一项扣0.5分，扣完2分为止。 没有“售后服务方案””的，不得分。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售后服务有利于用户节省投资和维修保养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1、备品备件提供、维修费用结算等其他有利于用户的服务承诺，有一项得1分，得满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2、质保期每增加1年，加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分，加满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本地化售后服务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产品制造厂家或供应商设立了健全的售后服务机构网点，有详细的售后服务机构名单、地址、服务电话和维修人员名单等。在芜湖市（含无为市及南陵县）能提供本地化售后服务的，得3分；在芜湖市（含无为市及南陵县）能提供委托本地化售后服务的，得2分；未提供的，不得分。（供应商须在投标文件中提供相关证明材料并加盖供应商公章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培训方案</w:t>
            </w:r>
          </w:p>
        </w:tc>
        <w:tc>
          <w:tcPr>
            <w:tcW w:w="9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2.00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有针对性的培训方案，培训方案应包括培训的时间、地点、目标、方式、内容、对象和措施。对方案的科学性可行性进行综合评比。得1-2分。</w:t>
            </w:r>
          </w:p>
        </w:tc>
      </w:tr>
    </w:tbl>
    <w:p>
      <w:pPr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备注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：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1.</w:t>
      </w:r>
      <w:r>
        <w:rPr>
          <w:rFonts w:hint="eastAsia" w:ascii="宋体" w:hAnsi="宋体"/>
          <w:sz w:val="28"/>
          <w:szCs w:val="28"/>
          <w:highlight w:val="white"/>
        </w:rPr>
        <w:t>数值计算结果均保留两位小数，第三位四舍五入</w:t>
      </w:r>
    </w:p>
    <w:p>
      <w:pPr>
        <w:ind w:firstLine="840" w:firstLine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2.评标委员会成员对“技术标”合计分超出其他成员平均值±50%时，须写明评分依据及理由。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75822"/>
    <w:rsid w:val="24E13FB9"/>
    <w:rsid w:val="24FC52B4"/>
    <w:rsid w:val="25571422"/>
    <w:rsid w:val="25924D1F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8F81482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265</Words>
  <Characters>1515</Characters>
  <Lines>12</Lines>
  <Paragraphs>3</Paragraphs>
  <TotalTime>9</TotalTime>
  <ScaleCrop>false</ScaleCrop>
  <LinksUpToDate>false</LinksUpToDate>
  <CharactersWithSpaces>1777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2022-02-17T08:29:12Z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BE196560953F4A188132BF93D8685278</vt:lpwstr>
  </property>
</Properties>
</file>