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left"/>
        <w:textAlignment w:val="auto"/>
        <w:rPr>
          <w:rFonts w:hint="eastAsia" w:ascii="宋体" w:hAnsi="宋体" w:eastAsia="宋体" w:cs="宋体"/>
          <w:color w:val="000000"/>
          <w:sz w:val="24"/>
          <w:szCs w:val="24"/>
          <w:lang w:eastAsia="zh-CN"/>
        </w:rPr>
      </w:pP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left"/>
        <w:textAlignment w:val="auto"/>
        <w:rPr>
          <w:rFonts w:hint="eastAsia" w:ascii="宋体" w:hAnsi="宋体" w:cs="宋体"/>
          <w:color w:val="000000"/>
          <w:sz w:val="24"/>
          <w:szCs w:val="24"/>
          <w:lang w:val="en-US" w:eastAsia="zh-CN"/>
        </w:rPr>
      </w:pPr>
      <w:r>
        <w:rPr>
          <w:rFonts w:hint="eastAsia" w:ascii="宋体" w:hAnsi="宋体" w:cs="宋体"/>
          <w:color w:val="000000"/>
          <w:sz w:val="24"/>
          <w:szCs w:val="24"/>
          <w:lang w:eastAsia="zh-CN"/>
        </w:rPr>
        <w:t>附件</w:t>
      </w:r>
      <w:r>
        <w:rPr>
          <w:rFonts w:hint="eastAsia" w:ascii="宋体" w:hAnsi="宋体" w:cs="宋体"/>
          <w:color w:val="000000"/>
          <w:sz w:val="24"/>
          <w:szCs w:val="24"/>
          <w:lang w:val="en-US" w:eastAsia="zh-CN"/>
        </w:rPr>
        <w:t>3：</w:t>
      </w:r>
    </w:p>
    <w:tbl>
      <w:tblPr>
        <w:tblStyle w:val="6"/>
        <w:tblpPr w:leftFromText="180" w:rightFromText="180" w:vertAnchor="text" w:horzAnchor="page" w:tblpX="1045" w:tblpY="675"/>
        <w:tblOverlap w:val="never"/>
        <w:tblW w:w="1058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6"/>
        <w:gridCol w:w="1180"/>
        <w:gridCol w:w="794"/>
        <w:gridCol w:w="2445"/>
        <w:gridCol w:w="3701"/>
        <w:gridCol w:w="152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6" w:hRule="atLeast"/>
        </w:trPr>
        <w:tc>
          <w:tcPr>
            <w:tcW w:w="105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芜湖市第一人民医院设备维保服务考核   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3" w:hRule="atLeast"/>
        </w:trPr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1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考核项目</w:t>
            </w:r>
          </w:p>
        </w:tc>
        <w:tc>
          <w:tcPr>
            <w:tcW w:w="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考核明细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考核内容</w:t>
            </w:r>
          </w:p>
        </w:tc>
        <w:tc>
          <w:tcPr>
            <w:tcW w:w="3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考核标准</w:t>
            </w:r>
          </w:p>
        </w:tc>
        <w:tc>
          <w:tcPr>
            <w:tcW w:w="1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扣分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5" w:hRule="atLeast"/>
        </w:trPr>
        <w:tc>
          <w:tcPr>
            <w:tcW w:w="93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 </w:t>
            </w:r>
          </w:p>
        </w:tc>
        <w:tc>
          <w:tcPr>
            <w:tcW w:w="11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设备维护</w:t>
            </w:r>
          </w:p>
        </w:tc>
        <w:tc>
          <w:tcPr>
            <w:tcW w:w="794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服务时间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全年365天全天候24小时提供服务。</w:t>
            </w:r>
          </w:p>
        </w:tc>
        <w:tc>
          <w:tcPr>
            <w:tcW w:w="370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提供365天全天候24小时服务，客服热线畅通，一次联系不上扣1分，超过2次联系不上扣3分</w:t>
            </w:r>
          </w:p>
        </w:tc>
        <w:tc>
          <w:tcPr>
            <w:tcW w:w="1524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88" w:hRule="atLeast"/>
        </w:trPr>
        <w:tc>
          <w:tcPr>
            <w:tcW w:w="9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检测维修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维修响应时间：接到故障报修电话通知后1小时之内响应，提供电话、网络等技术支持。如以上技术支持无法解决设备故障，中标供应商须在24小时内到达设备使用现场进行维修，排除故障。</w:t>
            </w:r>
          </w:p>
        </w:tc>
        <w:tc>
          <w:tcPr>
            <w:tcW w:w="3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未按规定时间内修复一次扣2分</w:t>
            </w:r>
          </w:p>
        </w:tc>
        <w:tc>
          <w:tcPr>
            <w:tcW w:w="1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3" w:hRule="atLeast"/>
        </w:trPr>
        <w:tc>
          <w:tcPr>
            <w:tcW w:w="9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在需更换配件情况下，要求所更换配件均为全新配件</w:t>
            </w:r>
          </w:p>
        </w:tc>
        <w:tc>
          <w:tcPr>
            <w:tcW w:w="3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发现更换配件是非全新配件一次扣5分</w:t>
            </w:r>
          </w:p>
        </w:tc>
        <w:tc>
          <w:tcPr>
            <w:tcW w:w="1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</w:trPr>
        <w:tc>
          <w:tcPr>
            <w:tcW w:w="9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每次维修完成后，工程师需向院方提供书面详细维修报告一份，包含维修内容、更换配件等。</w:t>
            </w:r>
          </w:p>
        </w:tc>
        <w:tc>
          <w:tcPr>
            <w:tcW w:w="3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每次维修后，工程师向医院提供书面维修报告，缺失一份报告扣0.2分</w:t>
            </w:r>
          </w:p>
        </w:tc>
        <w:tc>
          <w:tcPr>
            <w:tcW w:w="1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6" w:hRule="atLeast"/>
        </w:trPr>
        <w:tc>
          <w:tcPr>
            <w:tcW w:w="9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设备多次发生同样故障时，应及时处理，尽快找到故障原因和解决</w:t>
            </w:r>
            <w:r>
              <w:rPr>
                <w:rStyle w:val="8"/>
                <w:sz w:val="24"/>
                <w:szCs w:val="24"/>
                <w:lang w:val="en-US" w:eastAsia="zh-CN" w:bidi="ar"/>
              </w:rPr>
              <w:t>方案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，包括但不限于更换可能相关的配件，确保设备安全有效运行。</w:t>
            </w:r>
          </w:p>
        </w:tc>
        <w:tc>
          <w:tcPr>
            <w:tcW w:w="3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设备因同一故障一个月内重复维修3次及以上仍不能解决问题的现象，扣3分。同样故障3个月内发生5次扣10分并且终止合同。</w:t>
            </w:r>
          </w:p>
        </w:tc>
        <w:tc>
          <w:tcPr>
            <w:tcW w:w="1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2" w:hRule="atLeast"/>
        </w:trPr>
        <w:tc>
          <w:tcPr>
            <w:tcW w:w="9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开机率保证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保证保修期内总设备开机率至少达到98%（按照365天/年）。</w:t>
            </w:r>
          </w:p>
        </w:tc>
        <w:tc>
          <w:tcPr>
            <w:tcW w:w="3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设备开机率不足98%的一个百分点扣2分（不足1个百分点的按照1个点计算）</w:t>
            </w:r>
          </w:p>
        </w:tc>
        <w:tc>
          <w:tcPr>
            <w:tcW w:w="1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6" w:hRule="atLeast"/>
        </w:trPr>
        <w:tc>
          <w:tcPr>
            <w:tcW w:w="93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11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保养巡检</w:t>
            </w:r>
          </w:p>
        </w:tc>
        <w:tc>
          <w:tcPr>
            <w:tcW w:w="794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定期维护保养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针对保内设备提供定期维护保养，包括但不限于设备外观检查、性能检查、安全检查。每次维护保养结束后，提供书面维护保养报告给医院。</w:t>
            </w:r>
          </w:p>
        </w:tc>
        <w:tc>
          <w:tcPr>
            <w:tcW w:w="370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制定维护保养计划，根据计划进行保养，保内设备定期保养。未按照规定计划时间进行保养一次扣2分，进行保养但保养项目有缺失的，缺失一项扣0.5分。</w:t>
            </w:r>
          </w:p>
        </w:tc>
        <w:tc>
          <w:tcPr>
            <w:tcW w:w="1524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3" w:hRule="atLeast"/>
        </w:trPr>
        <w:tc>
          <w:tcPr>
            <w:tcW w:w="9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定期巡检</w:t>
            </w:r>
          </w:p>
        </w:tc>
        <w:tc>
          <w:tcPr>
            <w:tcW w:w="24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严格按时间检测，汇总提供检测工单及报告</w:t>
            </w:r>
          </w:p>
        </w:tc>
        <w:tc>
          <w:tcPr>
            <w:tcW w:w="3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未按时提供检测报告扣1分</w:t>
            </w:r>
          </w:p>
        </w:tc>
        <w:tc>
          <w:tcPr>
            <w:tcW w:w="1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</w:trPr>
        <w:tc>
          <w:tcPr>
            <w:tcW w:w="93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总扣分</w:t>
            </w:r>
          </w:p>
        </w:tc>
        <w:tc>
          <w:tcPr>
            <w:tcW w:w="118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4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70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1058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考核结果：满分为100分，总得分95分及以上的为合格，低于95分每一分扣除一千元，若总得分低于90分，院方有权终止合同。      </w:t>
            </w:r>
          </w:p>
        </w:tc>
      </w:tr>
    </w:tbl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left"/>
        <w:textAlignment w:val="auto"/>
        <w:rPr>
          <w:rFonts w:hint="eastAsia" w:ascii="宋体" w:hAnsi="宋体" w:eastAsia="宋体" w:cs="宋体"/>
          <w:color w:val="000000"/>
          <w:sz w:val="24"/>
          <w:szCs w:val="24"/>
          <w:lang w:eastAsia="zh-CN"/>
        </w:rPr>
      </w:pP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left"/>
        <w:textAlignment w:val="auto"/>
        <w:rPr>
          <w:rFonts w:hint="default" w:ascii="宋体" w:hAnsi="宋体" w:cs="宋体"/>
          <w:color w:val="000000"/>
          <w:sz w:val="24"/>
          <w:szCs w:val="24"/>
          <w:lang w:val="en-US" w:eastAsia="zh-CN"/>
        </w:rPr>
      </w:pPr>
    </w:p>
    <w:p>
      <w:bookmarkStart w:id="0" w:name="_GoBack"/>
      <w:bookmarkEnd w:id="0"/>
    </w:p>
    <w:sectPr>
      <w:headerReference r:id="rId3" w:type="default"/>
      <w:pgSz w:w="11906" w:h="16838"/>
      <w:pgMar w:top="1134" w:right="1134" w:bottom="1134" w:left="1134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BC27B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0"/>
    <w:pPr>
      <w:spacing w:after="120"/>
      <w:ind w:left="420" w:leftChars="200" w:firstLine="420" w:firstLineChars="200"/>
    </w:pPr>
    <w:rPr>
      <w:rFonts w:ascii="Times New Roman" w:hAnsi="Times New Roman"/>
      <w:color w:val="auto"/>
      <w:sz w:val="21"/>
      <w:szCs w:val="24"/>
      <w:lang w:val="en-US" w:eastAsia="zh-CN"/>
    </w:rPr>
  </w:style>
  <w:style w:type="paragraph" w:styleId="3">
    <w:name w:val="Body Text Indent"/>
    <w:basedOn w:val="1"/>
    <w:next w:val="4"/>
    <w:qFormat/>
    <w:uiPriority w:val="0"/>
    <w:pPr>
      <w:ind w:firstLine="660"/>
    </w:pPr>
    <w:rPr>
      <w:rFonts w:ascii="宋体" w:hAnsi="宋体"/>
      <w:color w:val="000000"/>
      <w:sz w:val="24"/>
      <w:szCs w:val="20"/>
    </w:rPr>
  </w:style>
  <w:style w:type="paragraph" w:styleId="4">
    <w:name w:val="envelope return"/>
    <w:basedOn w:val="1"/>
    <w:qFormat/>
    <w:uiPriority w:val="0"/>
    <w:pPr>
      <w:snapToGrid w:val="0"/>
    </w:pPr>
    <w:rPr>
      <w:rFonts w:ascii="Arial" w:hAnsi="Arial"/>
    </w:rPr>
  </w:style>
  <w:style w:type="paragraph" w:styleId="5">
    <w:name w:val="header"/>
    <w:basedOn w:val="1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font11"/>
    <w:basedOn w:val="7"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2022-04-08T09:23:39Z</dcterms:created>
  <dc:creator>Administrator</dc:creator>
  <cp:lastModifiedBy>Administrator</cp:lastModifiedBy>
  <dcterms:modified xsi:type="dcterms:W3CDTF">2022-04-08T09:23:59Z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96189181A06A48FA8E29D1E4C2513C9E</vt:lpwstr>
  </property>
</Properties>
</file>